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C7AF" w14:textId="2CBB9B52" w:rsidR="00C62E46" w:rsidRPr="000118D2" w:rsidRDefault="000118D2" w:rsidP="000118D2">
      <w:pPr>
        <w:jc w:val="center"/>
        <w:rPr>
          <w:b/>
          <w:bCs/>
          <w:sz w:val="32"/>
          <w:szCs w:val="32"/>
        </w:rPr>
      </w:pPr>
      <w:r w:rsidRPr="000118D2">
        <w:rPr>
          <w:b/>
          <w:bCs/>
          <w:sz w:val="32"/>
          <w:szCs w:val="32"/>
        </w:rPr>
        <w:t xml:space="preserve">Quick Guide to </w:t>
      </w:r>
      <w:r w:rsidR="00C62E46" w:rsidRPr="000118D2">
        <w:rPr>
          <w:b/>
          <w:bCs/>
          <w:sz w:val="32"/>
          <w:szCs w:val="32"/>
        </w:rPr>
        <w:t>Public Access to Administrative Records</w:t>
      </w:r>
    </w:p>
    <w:p w14:paraId="0E6DF498" w14:textId="754B5BE2" w:rsidR="00C62E46" w:rsidRDefault="00C62E46" w:rsidP="00C62E46">
      <w:pPr>
        <w:rPr>
          <w:rFonts w:ascii="Calibri" w:hAnsi="Calibri" w:cs="Calibri"/>
        </w:rPr>
      </w:pPr>
      <w:r>
        <w:t xml:space="preserve">The </w:t>
      </w:r>
      <w:r w:rsidR="000118D2">
        <w:t xml:space="preserve">Nevada Supreme Court’s </w:t>
      </w:r>
      <w:r>
        <w:t>Administrative Office of the Courts</w:t>
      </w:r>
      <w:r w:rsidR="00BB3D95">
        <w:t xml:space="preserve"> (AOC)</w:t>
      </w:r>
      <w:r>
        <w:t xml:space="preserve"> is </w:t>
      </w:r>
      <w:r w:rsidRPr="00C62E46">
        <w:rPr>
          <w:rFonts w:ascii="Calibri" w:hAnsi="Calibri" w:cs="Calibri"/>
        </w:rPr>
        <w:t xml:space="preserve">committed to transparency and open government.  We take each public records request seriously.  We </w:t>
      </w:r>
      <w:r w:rsidR="007365C5">
        <w:rPr>
          <w:rFonts w:ascii="Calibri" w:hAnsi="Calibri" w:cs="Calibri"/>
        </w:rPr>
        <w:t>look</w:t>
      </w:r>
      <w:r>
        <w:rPr>
          <w:rFonts w:ascii="Calibri" w:hAnsi="Calibri" w:cs="Calibri"/>
        </w:rPr>
        <w:t xml:space="preserve"> forward to facilitating </w:t>
      </w:r>
      <w:r w:rsidRPr="00C62E46">
        <w:rPr>
          <w:rFonts w:ascii="Calibri" w:hAnsi="Calibri" w:cs="Calibri"/>
        </w:rPr>
        <w:t>your request within the</w:t>
      </w:r>
      <w:r>
        <w:rPr>
          <w:rFonts w:ascii="Calibri" w:hAnsi="Calibri" w:cs="Calibri"/>
        </w:rPr>
        <w:t xml:space="preserve"> constraints of the AOC’s jurisdiction and resources</w:t>
      </w:r>
      <w:r w:rsidRPr="00C62E46">
        <w:rPr>
          <w:rFonts w:ascii="Calibri" w:hAnsi="Calibri" w:cs="Calibri"/>
        </w:rPr>
        <w:t xml:space="preserve">.  </w:t>
      </w:r>
    </w:p>
    <w:p w14:paraId="3B1DA3B3" w14:textId="615DC933" w:rsidR="00C62E46" w:rsidRPr="000118D2" w:rsidRDefault="00C62E46" w:rsidP="000117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118D2">
        <w:rPr>
          <w:rFonts w:ascii="Calibri" w:hAnsi="Calibri" w:cs="Calibri"/>
          <w:b/>
          <w:bCs/>
          <w:sz w:val="32"/>
          <w:szCs w:val="32"/>
        </w:rPr>
        <w:t xml:space="preserve">Available </w:t>
      </w:r>
      <w:r w:rsidR="00011770" w:rsidRPr="000118D2">
        <w:rPr>
          <w:rFonts w:ascii="Calibri" w:hAnsi="Calibri" w:cs="Calibri"/>
          <w:b/>
          <w:bCs/>
          <w:sz w:val="32"/>
          <w:szCs w:val="32"/>
        </w:rPr>
        <w:t>R</w:t>
      </w:r>
      <w:r w:rsidRPr="000118D2">
        <w:rPr>
          <w:rFonts w:ascii="Calibri" w:hAnsi="Calibri" w:cs="Calibri"/>
          <w:b/>
          <w:bCs/>
          <w:sz w:val="32"/>
          <w:szCs w:val="32"/>
        </w:rPr>
        <w:t>ecords</w:t>
      </w:r>
    </w:p>
    <w:p w14:paraId="7C0557DF" w14:textId="57B1D8A9" w:rsidR="00011770" w:rsidRDefault="00C62E46" w:rsidP="00C62E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AOC only handles administrative records.  </w:t>
      </w:r>
      <w:r w:rsidR="00011770">
        <w:rPr>
          <w:rFonts w:ascii="Calibri" w:hAnsi="Calibri" w:cs="Calibri"/>
        </w:rPr>
        <w:t>See the</w:t>
      </w:r>
      <w:r w:rsidR="007E2AA5">
        <w:rPr>
          <w:rFonts w:ascii="Calibri" w:hAnsi="Calibri" w:cs="Calibri"/>
        </w:rPr>
        <w:t xml:space="preserve"> Court’s </w:t>
      </w:r>
      <w:r w:rsidR="00740EDF" w:rsidRPr="00740EDF">
        <w:rPr>
          <w:rFonts w:ascii="Calibri" w:hAnsi="Calibri" w:cs="Calibri"/>
          <w:i/>
          <w:iCs/>
        </w:rPr>
        <w:t>Policy on Public Access to Administrative Records</w:t>
      </w:r>
      <w:r w:rsidR="00740EDF">
        <w:rPr>
          <w:rFonts w:ascii="Calibri" w:hAnsi="Calibri" w:cs="Calibri"/>
        </w:rPr>
        <w:t xml:space="preserve"> </w:t>
      </w:r>
      <w:r w:rsidR="000118D2">
        <w:rPr>
          <w:rFonts w:ascii="Calibri" w:hAnsi="Calibri" w:cs="Calibri"/>
        </w:rPr>
        <w:t xml:space="preserve">available on the Court’s website </w:t>
      </w:r>
      <w:r w:rsidR="00011770">
        <w:rPr>
          <w:rFonts w:ascii="Calibri" w:hAnsi="Calibri" w:cs="Calibri"/>
        </w:rPr>
        <w:t>for a detailed breakdown</w:t>
      </w:r>
      <w:r w:rsidR="00FE1C14">
        <w:rPr>
          <w:rFonts w:ascii="Calibri" w:hAnsi="Calibri" w:cs="Calibri"/>
        </w:rPr>
        <w:t xml:space="preserve"> on what record</w:t>
      </w:r>
      <w:r w:rsidR="00F737D0">
        <w:rPr>
          <w:rFonts w:ascii="Calibri" w:hAnsi="Calibri" w:cs="Calibri"/>
        </w:rPr>
        <w:t xml:space="preserve">s </w:t>
      </w:r>
      <w:r w:rsidR="00B83848">
        <w:rPr>
          <w:rFonts w:ascii="Calibri" w:hAnsi="Calibri" w:cs="Calibri"/>
        </w:rPr>
        <w:t>are available</w:t>
      </w:r>
      <w:r w:rsidR="00011770">
        <w:rPr>
          <w:rFonts w:ascii="Calibri" w:hAnsi="Calibri" w:cs="Calibri"/>
        </w:rPr>
        <w:t>.</w:t>
      </w:r>
    </w:p>
    <w:p w14:paraId="5F1E5D48" w14:textId="238158F6" w:rsidR="00011770" w:rsidRDefault="00011770" w:rsidP="00C62E4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AOC </w:t>
      </w:r>
      <w:r w:rsidR="00C62E46">
        <w:rPr>
          <w:rFonts w:ascii="Calibri" w:hAnsi="Calibri" w:cs="Calibri"/>
        </w:rPr>
        <w:t>does not create, handle, or store any</w:t>
      </w:r>
      <w:r>
        <w:rPr>
          <w:rFonts w:ascii="Calibri" w:hAnsi="Calibri" w:cs="Calibri"/>
        </w:rPr>
        <w:t>:</w:t>
      </w:r>
      <w:r w:rsidR="00C62E46">
        <w:rPr>
          <w:rFonts w:ascii="Calibri" w:hAnsi="Calibri" w:cs="Calibri"/>
        </w:rPr>
        <w:t xml:space="preserve"> </w:t>
      </w:r>
    </w:p>
    <w:p w14:paraId="754C9856" w14:textId="2ED90591" w:rsidR="00011770" w:rsidRPr="00011770" w:rsidRDefault="00246668" w:rsidP="0001177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62E46" w:rsidRPr="00011770">
        <w:rPr>
          <w:rFonts w:ascii="Calibri" w:hAnsi="Calibri" w:cs="Calibri"/>
        </w:rPr>
        <w:t xml:space="preserve">ourt </w:t>
      </w:r>
      <w:r w:rsidR="008E66E9">
        <w:rPr>
          <w:rFonts w:ascii="Calibri" w:hAnsi="Calibri" w:cs="Calibri"/>
        </w:rPr>
        <w:t xml:space="preserve">procedural </w:t>
      </w:r>
      <w:r w:rsidR="00C62E46" w:rsidRPr="00011770">
        <w:rPr>
          <w:rFonts w:ascii="Calibri" w:hAnsi="Calibri" w:cs="Calibri"/>
        </w:rPr>
        <w:t xml:space="preserve">documents, filings, </w:t>
      </w:r>
      <w:r w:rsidR="00011770">
        <w:rPr>
          <w:rFonts w:ascii="Calibri" w:hAnsi="Calibri" w:cs="Calibri"/>
        </w:rPr>
        <w:t>indexes, dockets, registers of actions, records of proceedings, order</w:t>
      </w:r>
      <w:r w:rsidR="000118D2">
        <w:rPr>
          <w:rFonts w:ascii="Calibri" w:hAnsi="Calibri" w:cs="Calibri"/>
        </w:rPr>
        <w:t>s</w:t>
      </w:r>
      <w:r w:rsidR="00011770">
        <w:rPr>
          <w:rFonts w:ascii="Calibri" w:hAnsi="Calibri" w:cs="Calibri"/>
        </w:rPr>
        <w:t>, decrees, judgments,</w:t>
      </w:r>
      <w:r w:rsidR="00011770" w:rsidRPr="00011770">
        <w:rPr>
          <w:rFonts w:ascii="Calibri" w:hAnsi="Calibri" w:cs="Calibri"/>
        </w:rPr>
        <w:t xml:space="preserve"> schedules, agendas</w:t>
      </w:r>
      <w:r w:rsidR="00011770">
        <w:rPr>
          <w:rFonts w:ascii="Calibri" w:hAnsi="Calibri" w:cs="Calibri"/>
        </w:rPr>
        <w:t>, minutes;</w:t>
      </w:r>
      <w:r w:rsidR="00011770" w:rsidRPr="000117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="00011770" w:rsidRPr="00011770">
        <w:rPr>
          <w:rFonts w:ascii="Calibri" w:hAnsi="Calibri" w:cs="Calibri"/>
        </w:rPr>
        <w:t xml:space="preserve">or, </w:t>
      </w:r>
    </w:p>
    <w:p w14:paraId="2AF5D71E" w14:textId="22575D29" w:rsidR="00C62E46" w:rsidRPr="00011770" w:rsidRDefault="00A719F5" w:rsidP="00C62E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11770" w:rsidRPr="00011770">
        <w:rPr>
          <w:rFonts w:ascii="Calibri" w:hAnsi="Calibri" w:cs="Calibri"/>
        </w:rPr>
        <w:t>ase documents</w:t>
      </w:r>
      <w:r w:rsidR="00C62E46" w:rsidRPr="00011770">
        <w:rPr>
          <w:rFonts w:ascii="Calibri" w:hAnsi="Calibri" w:cs="Calibri"/>
        </w:rPr>
        <w:t xml:space="preserve"> such as divorce, </w:t>
      </w:r>
      <w:r w:rsidR="00011770" w:rsidRPr="00011770">
        <w:rPr>
          <w:rFonts w:ascii="Calibri" w:hAnsi="Calibri" w:cs="Calibri"/>
        </w:rPr>
        <w:t xml:space="preserve">family, </w:t>
      </w:r>
      <w:r w:rsidR="00C62E46" w:rsidRPr="00011770">
        <w:rPr>
          <w:rFonts w:ascii="Calibri" w:hAnsi="Calibri" w:cs="Calibri"/>
        </w:rPr>
        <w:t>criminal, civil case</w:t>
      </w:r>
      <w:r w:rsidR="00CA38D2">
        <w:rPr>
          <w:rFonts w:ascii="Calibri" w:hAnsi="Calibri" w:cs="Calibri"/>
        </w:rPr>
        <w:t>, or traffic</w:t>
      </w:r>
      <w:r w:rsidR="00C62E46" w:rsidRPr="00011770">
        <w:rPr>
          <w:rFonts w:ascii="Calibri" w:hAnsi="Calibri" w:cs="Calibri"/>
        </w:rPr>
        <w:t xml:space="preserve"> records at any court level (appellate, district, </w:t>
      </w:r>
      <w:r w:rsidR="00BB3D95" w:rsidRPr="00011770">
        <w:rPr>
          <w:rFonts w:ascii="Calibri" w:hAnsi="Calibri" w:cs="Calibri"/>
        </w:rPr>
        <w:t>justice,</w:t>
      </w:r>
      <w:r w:rsidR="00C62E46" w:rsidRPr="00011770">
        <w:rPr>
          <w:rFonts w:ascii="Calibri" w:hAnsi="Calibri" w:cs="Calibri"/>
        </w:rPr>
        <w:t xml:space="preserve"> or municipal court). </w:t>
      </w:r>
      <w:r w:rsidR="00011770" w:rsidRPr="00011770">
        <w:rPr>
          <w:rFonts w:ascii="Calibri" w:hAnsi="Calibri" w:cs="Calibri"/>
        </w:rPr>
        <w:t xml:space="preserve">Please contact the court where those records may have been filed. </w:t>
      </w:r>
    </w:p>
    <w:p w14:paraId="76EBB31B" w14:textId="2E5465B4" w:rsidR="00011770" w:rsidRPr="000118D2" w:rsidRDefault="00011770" w:rsidP="000118D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118D2">
        <w:rPr>
          <w:rFonts w:ascii="Calibri" w:hAnsi="Calibri" w:cs="Calibri"/>
          <w:b/>
          <w:bCs/>
          <w:sz w:val="32"/>
          <w:szCs w:val="32"/>
        </w:rPr>
        <w:t>Records Request</w:t>
      </w:r>
    </w:p>
    <w:p w14:paraId="5B93C890" w14:textId="41EECD02" w:rsidR="00742964" w:rsidRPr="00A30356" w:rsidRDefault="00BB3D95" w:rsidP="00A303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Records r</w:t>
      </w:r>
      <w:r w:rsidR="000118D2" w:rsidRPr="00A30356">
        <w:rPr>
          <w:rFonts w:ascii="Calibri" w:hAnsi="Calibri" w:cs="Calibri"/>
        </w:rPr>
        <w:t>equests must include sufficient detail to identify what public record is being sought.</w:t>
      </w:r>
      <w:r w:rsidR="00984C3C" w:rsidRPr="00A30356">
        <w:rPr>
          <w:rFonts w:ascii="Calibri" w:hAnsi="Calibri" w:cs="Calibri"/>
        </w:rPr>
        <w:t xml:space="preserve"> </w:t>
      </w:r>
    </w:p>
    <w:p w14:paraId="24449A43" w14:textId="726E1A53" w:rsidR="001E6D2B" w:rsidRPr="00427B5B" w:rsidRDefault="000118D2" w:rsidP="00427B5B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A30356">
        <w:rPr>
          <w:rFonts w:ascii="Calibri" w:hAnsi="Calibri" w:cs="Calibri"/>
        </w:rPr>
        <w:t xml:space="preserve">Once received, the AOC has 5 judicial days to acknowledge </w:t>
      </w:r>
      <w:r w:rsidR="00B32E84">
        <w:rPr>
          <w:rFonts w:ascii="Calibri" w:hAnsi="Calibri" w:cs="Calibri"/>
        </w:rPr>
        <w:t>your</w:t>
      </w:r>
      <w:r w:rsidR="001E6D2B" w:rsidRPr="00A30356">
        <w:rPr>
          <w:rFonts w:ascii="Calibri" w:hAnsi="Calibri" w:cs="Calibri"/>
        </w:rPr>
        <w:t xml:space="preserve"> request</w:t>
      </w:r>
      <w:r w:rsidRPr="00A30356">
        <w:rPr>
          <w:rFonts w:ascii="Calibri" w:hAnsi="Calibri" w:cs="Calibri"/>
        </w:rPr>
        <w:t xml:space="preserve">. </w:t>
      </w:r>
      <w:r w:rsidR="00427B5B" w:rsidRPr="00A30356">
        <w:rPr>
          <w:rFonts w:ascii="Calibri" w:hAnsi="Calibri" w:cs="Calibri"/>
        </w:rPr>
        <w:t xml:space="preserve">AOC staff may contact you to obtain more information. </w:t>
      </w:r>
    </w:p>
    <w:p w14:paraId="2AD9EE06" w14:textId="77777777" w:rsidR="001F709C" w:rsidRPr="001F709C" w:rsidRDefault="000118D2" w:rsidP="001F709C">
      <w:pPr>
        <w:pStyle w:val="ListParagraph"/>
        <w:numPr>
          <w:ilvl w:val="0"/>
          <w:numId w:val="3"/>
        </w:numPr>
        <w:spacing w:after="0"/>
      </w:pPr>
      <w:r w:rsidRPr="00A30356">
        <w:rPr>
          <w:rFonts w:ascii="Calibri" w:hAnsi="Calibri" w:cs="Calibri"/>
        </w:rPr>
        <w:t xml:space="preserve">Once acknowledged, </w:t>
      </w:r>
      <w:r w:rsidR="00984C3C" w:rsidRPr="00A30356">
        <w:rPr>
          <w:rFonts w:ascii="Calibri" w:hAnsi="Calibri" w:cs="Calibri"/>
        </w:rPr>
        <w:t>additional time</w:t>
      </w:r>
      <w:r w:rsidRPr="00A30356">
        <w:rPr>
          <w:rFonts w:ascii="Calibri" w:hAnsi="Calibri" w:cs="Calibri"/>
        </w:rPr>
        <w:t xml:space="preserve"> </w:t>
      </w:r>
      <w:r w:rsidR="00A30356" w:rsidRPr="00A30356">
        <w:rPr>
          <w:rFonts w:ascii="Calibri" w:hAnsi="Calibri" w:cs="Calibri"/>
        </w:rPr>
        <w:t xml:space="preserve">may be required </w:t>
      </w:r>
      <w:r w:rsidRPr="00A30356">
        <w:rPr>
          <w:rFonts w:ascii="Calibri" w:hAnsi="Calibri" w:cs="Calibri"/>
        </w:rPr>
        <w:t xml:space="preserve">to process </w:t>
      </w:r>
      <w:r w:rsidR="00A30356" w:rsidRPr="00A30356">
        <w:rPr>
          <w:rFonts w:ascii="Calibri" w:hAnsi="Calibri" w:cs="Calibri"/>
        </w:rPr>
        <w:t>your request</w:t>
      </w:r>
      <w:r w:rsidRPr="00A30356">
        <w:rPr>
          <w:rFonts w:ascii="Calibri" w:hAnsi="Calibri" w:cs="Calibri"/>
        </w:rPr>
        <w:t xml:space="preserve">.  </w:t>
      </w:r>
    </w:p>
    <w:p w14:paraId="25C9F13E" w14:textId="52E0EACF" w:rsidR="00984C3C" w:rsidRDefault="001F709C" w:rsidP="001F709C">
      <w:pPr>
        <w:pStyle w:val="ListParagraph"/>
        <w:numPr>
          <w:ilvl w:val="0"/>
          <w:numId w:val="3"/>
        </w:numPr>
        <w:spacing w:after="0"/>
      </w:pPr>
      <w:r>
        <w:t>AOC is not required to conduct research, complete checklists, answer legal questions,</w:t>
      </w:r>
      <w:r w:rsidR="0083643E">
        <w:t xml:space="preserve"> create </w:t>
      </w:r>
      <w:r w:rsidR="00BE31EF">
        <w:t>indexes, list or</w:t>
      </w:r>
      <w:r>
        <w:t xml:space="preserve"> compile </w:t>
      </w:r>
      <w:r w:rsidR="00D34E1C">
        <w:t>data or documents</w:t>
      </w:r>
      <w:r w:rsidR="00BE31EF">
        <w:t xml:space="preserve">, </w:t>
      </w:r>
      <w:r>
        <w:t xml:space="preserve">change document formatting, </w:t>
      </w:r>
      <w:proofErr w:type="gramStart"/>
      <w:r>
        <w:t>transpose</w:t>
      </w:r>
      <w:proofErr w:type="gramEnd"/>
      <w:r>
        <w:t xml:space="preserve"> or manipulate data, </w:t>
      </w:r>
      <w:r w:rsidR="001F3213">
        <w:t xml:space="preserve">or </w:t>
      </w:r>
      <w:r>
        <w:t>reorganize existing information to create a new type of record not maintained</w:t>
      </w:r>
      <w:r w:rsidR="00B83F96">
        <w:t xml:space="preserve"> by the AOC</w:t>
      </w:r>
      <w:r>
        <w:t xml:space="preserve"> in the ordinary course of business. </w:t>
      </w:r>
    </w:p>
    <w:p w14:paraId="1F4D4951" w14:textId="77777777" w:rsidR="001F3213" w:rsidRPr="001F709C" w:rsidRDefault="001F3213" w:rsidP="001F3213">
      <w:pPr>
        <w:pStyle w:val="ListParagraph"/>
        <w:spacing w:after="0"/>
      </w:pPr>
    </w:p>
    <w:p w14:paraId="6D13F38C" w14:textId="756942AB" w:rsidR="009151CC" w:rsidRDefault="009151CC" w:rsidP="009151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151CC">
        <w:rPr>
          <w:rFonts w:ascii="Calibri" w:hAnsi="Calibri" w:cs="Calibri"/>
          <w:b/>
          <w:bCs/>
          <w:sz w:val="32"/>
          <w:szCs w:val="32"/>
        </w:rPr>
        <w:t>Record Format</w:t>
      </w:r>
    </w:p>
    <w:p w14:paraId="1673561C" w14:textId="0724A4DC" w:rsidR="00160661" w:rsidRDefault="009151CC" w:rsidP="002A78B1">
      <w:pPr>
        <w:pStyle w:val="ListParagraph"/>
        <w:numPr>
          <w:ilvl w:val="0"/>
          <w:numId w:val="4"/>
        </w:numPr>
        <w:spacing w:after="0"/>
      </w:pPr>
      <w:r>
        <w:t>All request</w:t>
      </w:r>
      <w:r w:rsidR="00A066F6">
        <w:t xml:space="preserve">ed documents </w:t>
      </w:r>
      <w:r>
        <w:t xml:space="preserve">will be provided electronically if possible. </w:t>
      </w:r>
    </w:p>
    <w:p w14:paraId="6287C358" w14:textId="1FAF3FBB" w:rsidR="009151CC" w:rsidRDefault="00A05046" w:rsidP="0064683E">
      <w:pPr>
        <w:pStyle w:val="ListParagraph"/>
        <w:numPr>
          <w:ilvl w:val="0"/>
          <w:numId w:val="3"/>
        </w:numPr>
        <w:spacing w:after="0"/>
      </w:pPr>
      <w:r>
        <w:t xml:space="preserve">The AOC is not required to provide any record in an electronic format if the record was not created or prepared in </w:t>
      </w:r>
      <w:r w:rsidR="000F7487">
        <w:t>an electronic format</w:t>
      </w:r>
      <w:r w:rsidR="0021441D">
        <w:t xml:space="preserve">, nor </w:t>
      </w:r>
      <w:r w:rsidR="00017C7B">
        <w:t xml:space="preserve">to </w:t>
      </w:r>
      <w:r w:rsidR="0021441D">
        <w:t>convert one electronic format to another</w:t>
      </w:r>
      <w:r w:rsidR="00017C7B">
        <w:t xml:space="preserve">, nor to provide software to translate </w:t>
      </w:r>
      <w:r w:rsidR="002A0D6A">
        <w:t xml:space="preserve">data/document </w:t>
      </w:r>
      <w:r w:rsidR="006F5C18">
        <w:t xml:space="preserve">into a format usable by the requestor. </w:t>
      </w:r>
    </w:p>
    <w:p w14:paraId="724574EF" w14:textId="77777777" w:rsidR="001F3213" w:rsidRDefault="001F3213" w:rsidP="001F3213">
      <w:pPr>
        <w:pStyle w:val="ListParagraph"/>
        <w:spacing w:after="0"/>
      </w:pPr>
    </w:p>
    <w:p w14:paraId="6092BB6E" w14:textId="059E6DD1" w:rsidR="00011770" w:rsidRPr="00984C3C" w:rsidRDefault="00984C3C" w:rsidP="00984C3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84C3C">
        <w:rPr>
          <w:rFonts w:ascii="Calibri" w:hAnsi="Calibri" w:cs="Calibri"/>
          <w:b/>
          <w:bCs/>
          <w:sz w:val="32"/>
          <w:szCs w:val="32"/>
        </w:rPr>
        <w:t>F</w:t>
      </w:r>
      <w:r>
        <w:rPr>
          <w:rFonts w:ascii="Calibri" w:hAnsi="Calibri" w:cs="Calibri"/>
          <w:b/>
          <w:bCs/>
          <w:sz w:val="32"/>
          <w:szCs w:val="32"/>
        </w:rPr>
        <w:t xml:space="preserve">ees and </w:t>
      </w:r>
      <w:r w:rsidR="00A066F6">
        <w:rPr>
          <w:rFonts w:ascii="Calibri" w:hAnsi="Calibri" w:cs="Calibri"/>
          <w:b/>
          <w:bCs/>
          <w:sz w:val="32"/>
          <w:szCs w:val="32"/>
        </w:rPr>
        <w:t xml:space="preserve">Service </w:t>
      </w:r>
      <w:r>
        <w:rPr>
          <w:rFonts w:ascii="Calibri" w:hAnsi="Calibri" w:cs="Calibri"/>
          <w:b/>
          <w:bCs/>
          <w:sz w:val="32"/>
          <w:szCs w:val="32"/>
        </w:rPr>
        <w:t>Costs</w:t>
      </w:r>
    </w:p>
    <w:p w14:paraId="01AF95EA" w14:textId="4C54FBD7" w:rsidR="001A5DE3" w:rsidRDefault="00FA7A01" w:rsidP="001A5DE3">
      <w:pPr>
        <w:spacing w:after="0"/>
      </w:pPr>
      <w:r>
        <w:t>Prior to process, a</w:t>
      </w:r>
      <w:r w:rsidR="001A5DE3">
        <w:t>n estimate of charges</w:t>
      </w:r>
      <w:r w:rsidR="00EA1534">
        <w:t>, if any,</w:t>
      </w:r>
      <w:r w:rsidR="001A5DE3">
        <w:t xml:space="preserve"> will be provided and prepayment may be required. </w:t>
      </w:r>
    </w:p>
    <w:p w14:paraId="7CB3A5B3" w14:textId="5CB05165" w:rsidR="00984C3C" w:rsidRDefault="00EA1534" w:rsidP="00984C3C">
      <w:pPr>
        <w:spacing w:after="0"/>
      </w:pPr>
      <w:r>
        <w:t>Costs for r</w:t>
      </w:r>
      <w:r w:rsidR="00984C3C">
        <w:t>esearch</w:t>
      </w:r>
      <w:r w:rsidR="00A721BF">
        <w:t xml:space="preserve"> and</w:t>
      </w:r>
      <w:r>
        <w:t>/or d</w:t>
      </w:r>
      <w:r w:rsidR="00984C3C">
        <w:t xml:space="preserve">ocument </w:t>
      </w:r>
      <w:r>
        <w:t>p</w:t>
      </w:r>
      <w:r w:rsidR="00984C3C">
        <w:t>reparation</w:t>
      </w:r>
      <w:r>
        <w:t>:</w:t>
      </w:r>
    </w:p>
    <w:p w14:paraId="5F154637" w14:textId="619C335A" w:rsidR="00984C3C" w:rsidRDefault="00984C3C" w:rsidP="00BB6F56">
      <w:pPr>
        <w:pStyle w:val="ListParagraph"/>
        <w:numPr>
          <w:ilvl w:val="0"/>
          <w:numId w:val="3"/>
        </w:numPr>
        <w:spacing w:after="0"/>
      </w:pPr>
      <w:r>
        <w:t>$ 20 per hour, quarter-hour increments</w:t>
      </w:r>
      <w:r w:rsidR="006E4660">
        <w:t xml:space="preserve"> ($5/15 min</w:t>
      </w:r>
      <w:r w:rsidR="00E07D47">
        <w:t>.</w:t>
      </w:r>
      <w:r w:rsidR="006E4660">
        <w:t>)</w:t>
      </w:r>
      <w:r>
        <w:t xml:space="preserve">, </w:t>
      </w:r>
      <w:r w:rsidR="00E07D47">
        <w:t xml:space="preserve">for </w:t>
      </w:r>
      <w:r>
        <w:t>clerical</w:t>
      </w:r>
      <w:r w:rsidR="00E07D47">
        <w:t xml:space="preserve"> staff</w:t>
      </w:r>
      <w:r w:rsidR="000A57C3">
        <w:t>.</w:t>
      </w:r>
    </w:p>
    <w:p w14:paraId="0A024C13" w14:textId="6D1D83BD" w:rsidR="00984C3C" w:rsidRDefault="00984C3C" w:rsidP="00BB6F56">
      <w:pPr>
        <w:pStyle w:val="ListParagraph"/>
        <w:numPr>
          <w:ilvl w:val="0"/>
          <w:numId w:val="3"/>
        </w:numPr>
        <w:spacing w:after="0"/>
      </w:pPr>
      <w:r>
        <w:t xml:space="preserve">$ 60 per hour, quarter-hour increments </w:t>
      </w:r>
      <w:r w:rsidR="00E07D47">
        <w:t>($15/15 min.)</w:t>
      </w:r>
      <w:r w:rsidR="002C0B57">
        <w:t xml:space="preserve">, </w:t>
      </w:r>
      <w:r>
        <w:t>for professional staff review if necessary.</w:t>
      </w:r>
    </w:p>
    <w:p w14:paraId="072AC93B" w14:textId="419A1095" w:rsidR="00984C3C" w:rsidRDefault="00984C3C" w:rsidP="00BB6F56">
      <w:pPr>
        <w:pStyle w:val="ListParagraph"/>
        <w:numPr>
          <w:ilvl w:val="0"/>
          <w:numId w:val="3"/>
        </w:numPr>
        <w:spacing w:after="0"/>
      </w:pPr>
      <w:r>
        <w:t xml:space="preserve">Pass through charge if an outside or third-party is </w:t>
      </w:r>
      <w:r w:rsidR="000A57C3">
        <w:t>required</w:t>
      </w:r>
      <w:r w:rsidR="003B701D">
        <w:t xml:space="preserve"> for facilitate your request</w:t>
      </w:r>
      <w:r w:rsidR="000A57C3">
        <w:t>.</w:t>
      </w:r>
      <w:r>
        <w:t xml:space="preserve"> </w:t>
      </w:r>
    </w:p>
    <w:p w14:paraId="22AFDF6A" w14:textId="406AFD28" w:rsidR="005F7FB9" w:rsidRDefault="005F7FB9" w:rsidP="005F7FB9">
      <w:pPr>
        <w:pStyle w:val="ListParagraph"/>
        <w:numPr>
          <w:ilvl w:val="0"/>
          <w:numId w:val="3"/>
        </w:numPr>
        <w:spacing w:after="0"/>
      </w:pPr>
      <w:r>
        <w:t>Hard copies:   $.50 per page</w:t>
      </w:r>
      <w:r w:rsidR="000A57C3">
        <w:t>.</w:t>
      </w:r>
    </w:p>
    <w:p w14:paraId="54475B55" w14:textId="6A847FD0" w:rsidR="00C70EC7" w:rsidRDefault="005F7FB9" w:rsidP="00C70EC7">
      <w:pPr>
        <w:pStyle w:val="ListParagraph"/>
        <w:numPr>
          <w:ilvl w:val="0"/>
          <w:numId w:val="3"/>
        </w:numPr>
        <w:spacing w:after="0"/>
      </w:pPr>
      <w:r>
        <w:t>Postage:  actual/pass through, postage &amp; packaging</w:t>
      </w:r>
      <w:r w:rsidR="000A57C3">
        <w:t>.</w:t>
      </w:r>
      <w:r>
        <w:t xml:space="preserve"> </w:t>
      </w:r>
    </w:p>
    <w:p w14:paraId="782836EF" w14:textId="5FCF4844" w:rsidR="00C70EC7" w:rsidRDefault="00C70EC7" w:rsidP="00C70EC7">
      <w:pPr>
        <w:spacing w:after="0"/>
      </w:pPr>
    </w:p>
    <w:p w14:paraId="56F52B33" w14:textId="34465838" w:rsidR="00C70EC7" w:rsidRPr="00C70EC7" w:rsidRDefault="00C70EC7" w:rsidP="00C70EC7">
      <w:pPr>
        <w:spacing w:after="0"/>
        <w:rPr>
          <w:sz w:val="18"/>
          <w:szCs w:val="18"/>
        </w:rPr>
      </w:pPr>
      <w:r w:rsidRPr="00C70EC7">
        <w:rPr>
          <w:sz w:val="18"/>
          <w:szCs w:val="18"/>
        </w:rPr>
        <w:t>Updated 020323</w:t>
      </w:r>
    </w:p>
    <w:sectPr w:rsidR="00C70EC7" w:rsidRPr="00C70EC7" w:rsidSect="00C70EC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90A"/>
    <w:multiLevelType w:val="hybridMultilevel"/>
    <w:tmpl w:val="267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7237"/>
    <w:multiLevelType w:val="hybridMultilevel"/>
    <w:tmpl w:val="0920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19D"/>
    <w:multiLevelType w:val="hybridMultilevel"/>
    <w:tmpl w:val="29D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34CA"/>
    <w:multiLevelType w:val="hybridMultilevel"/>
    <w:tmpl w:val="B600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7102">
    <w:abstractNumId w:val="2"/>
  </w:num>
  <w:num w:numId="2" w16cid:durableId="33314266">
    <w:abstractNumId w:val="3"/>
  </w:num>
  <w:num w:numId="3" w16cid:durableId="443157904">
    <w:abstractNumId w:val="0"/>
  </w:num>
  <w:num w:numId="4" w16cid:durableId="37612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46"/>
    <w:rsid w:val="00000B2E"/>
    <w:rsid w:val="00011770"/>
    <w:rsid w:val="000118D2"/>
    <w:rsid w:val="00017C7B"/>
    <w:rsid w:val="000A57C3"/>
    <w:rsid w:val="000B33CC"/>
    <w:rsid w:val="000F7487"/>
    <w:rsid w:val="0014191D"/>
    <w:rsid w:val="00160661"/>
    <w:rsid w:val="001A5DE3"/>
    <w:rsid w:val="001E6D2B"/>
    <w:rsid w:val="001F3213"/>
    <w:rsid w:val="001F709C"/>
    <w:rsid w:val="00207152"/>
    <w:rsid w:val="0021441D"/>
    <w:rsid w:val="00225BA4"/>
    <w:rsid w:val="00246668"/>
    <w:rsid w:val="002A0D6A"/>
    <w:rsid w:val="002A78B1"/>
    <w:rsid w:val="002C0B57"/>
    <w:rsid w:val="003B4D40"/>
    <w:rsid w:val="003B701D"/>
    <w:rsid w:val="00427B5B"/>
    <w:rsid w:val="00527FC1"/>
    <w:rsid w:val="00532521"/>
    <w:rsid w:val="005F7FB9"/>
    <w:rsid w:val="0064683E"/>
    <w:rsid w:val="006E4660"/>
    <w:rsid w:val="006F5C18"/>
    <w:rsid w:val="007365C5"/>
    <w:rsid w:val="00740EDF"/>
    <w:rsid w:val="00742964"/>
    <w:rsid w:val="007835C4"/>
    <w:rsid w:val="007E2AA5"/>
    <w:rsid w:val="0080674D"/>
    <w:rsid w:val="0081707E"/>
    <w:rsid w:val="0083643E"/>
    <w:rsid w:val="008875EB"/>
    <w:rsid w:val="008B2C8D"/>
    <w:rsid w:val="008E66E9"/>
    <w:rsid w:val="00902BEF"/>
    <w:rsid w:val="009151CC"/>
    <w:rsid w:val="00984C3C"/>
    <w:rsid w:val="009E4FC8"/>
    <w:rsid w:val="009F4135"/>
    <w:rsid w:val="00A05046"/>
    <w:rsid w:val="00A066F6"/>
    <w:rsid w:val="00A26A27"/>
    <w:rsid w:val="00A30356"/>
    <w:rsid w:val="00A719F5"/>
    <w:rsid w:val="00A721BF"/>
    <w:rsid w:val="00AE3A9E"/>
    <w:rsid w:val="00B32C23"/>
    <w:rsid w:val="00B32E84"/>
    <w:rsid w:val="00B83848"/>
    <w:rsid w:val="00B83F96"/>
    <w:rsid w:val="00BB3D95"/>
    <w:rsid w:val="00BB6F56"/>
    <w:rsid w:val="00BE31EF"/>
    <w:rsid w:val="00C62E46"/>
    <w:rsid w:val="00C70EC7"/>
    <w:rsid w:val="00CA38D2"/>
    <w:rsid w:val="00D3124D"/>
    <w:rsid w:val="00D31308"/>
    <w:rsid w:val="00D34E1C"/>
    <w:rsid w:val="00E07D47"/>
    <w:rsid w:val="00E802C8"/>
    <w:rsid w:val="00EA1534"/>
    <w:rsid w:val="00EC7E15"/>
    <w:rsid w:val="00F737D0"/>
    <w:rsid w:val="00FA7A01"/>
    <w:rsid w:val="00FE1C14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7A9A"/>
  <w15:chartTrackingRefBased/>
  <w15:docId w15:val="{2D388FCB-AD0E-4487-AF17-C19146B1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Luetkehans, Melody</dc:creator>
  <cp:keywords/>
  <dc:description/>
  <cp:lastModifiedBy>Luetkehans, Melody</cp:lastModifiedBy>
  <cp:revision>9</cp:revision>
  <cp:lastPrinted>2023-02-03T16:26:00Z</cp:lastPrinted>
  <dcterms:created xsi:type="dcterms:W3CDTF">2023-02-03T16:25:00Z</dcterms:created>
  <dcterms:modified xsi:type="dcterms:W3CDTF">2023-02-04T00:32:00Z</dcterms:modified>
</cp:coreProperties>
</file>