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CB41" w14:textId="77777777" w:rsidR="00EE70FE" w:rsidRPr="00EE70FE" w:rsidRDefault="00EE70FE" w:rsidP="00B53C63">
      <w:pPr>
        <w:pStyle w:val="rulehead2"/>
        <w:spacing w:before="200" w:beforeAutospacing="0" w:after="200" w:afterAutospacing="0" w:line="480" w:lineRule="auto"/>
        <w:jc w:val="center"/>
        <w:rPr>
          <w:rFonts w:ascii="Century Schoolbook" w:hAnsi="Century Schoolbook"/>
          <w:b/>
          <w:bCs/>
          <w:color w:val="000000"/>
          <w:sz w:val="28"/>
          <w:szCs w:val="28"/>
        </w:rPr>
      </w:pPr>
      <w:r w:rsidRPr="00EE70FE">
        <w:rPr>
          <w:rFonts w:ascii="Century Schoolbook" w:hAnsi="Century Schoolbook"/>
          <w:b/>
          <w:bCs/>
          <w:color w:val="000000"/>
          <w:sz w:val="28"/>
          <w:szCs w:val="28"/>
        </w:rPr>
        <w:t>RULE</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32.</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FORM OF BRIEFS, THE APPENDIX AND OTHER PAPERS</w:t>
      </w:r>
    </w:p>
    <w:p w14:paraId="79C8607D"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(a)</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Form of a Brief.</w:t>
      </w:r>
    </w:p>
    <w:p w14:paraId="595E5F3F"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(1)</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Reproduction.</w:t>
      </w:r>
    </w:p>
    <w:p w14:paraId="1478D0CD" w14:textId="63F8BB39"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(A)</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A </w:t>
      </w:r>
      <w:proofErr w:type="gramStart"/>
      <w:r w:rsidRPr="00EE70FE">
        <w:rPr>
          <w:rFonts w:ascii="Century Schoolbook" w:hAnsi="Century Schoolbook"/>
          <w:color w:val="000000"/>
          <w:sz w:val="28"/>
          <w:szCs w:val="28"/>
        </w:rPr>
        <w:t xml:space="preserve">brief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be reproduced by any process that yields a clear black image of letter quality. The paper must be opaque and unglazed. Only one side of the paper may be used.</w:t>
      </w:r>
    </w:p>
    <w:p w14:paraId="79EF04F0" w14:textId="77777777" w:rsid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(B)</w:t>
      </w:r>
      <w:r w:rsidRPr="00EE70FE">
        <w:rPr>
          <w:rFonts w:ascii="Century Schoolbook" w:hAnsi="Century Schoolbook"/>
          <w:color w:val="000000"/>
          <w:sz w:val="28"/>
          <w:szCs w:val="28"/>
        </w:rPr>
        <w:t> </w:t>
      </w:r>
      <w:r w:rsidRPr="00EE70FE">
        <w:rPr>
          <w:rFonts w:ascii="Century Schoolbook" w:hAnsi="Century Schoolbook"/>
          <w:color w:val="000000"/>
          <w:sz w:val="28"/>
          <w:szCs w:val="28"/>
        </w:rPr>
        <w:t>Text must be reproduced with a clarity that equals or exceeds the output of a laser printer.</w:t>
      </w:r>
    </w:p>
    <w:p w14:paraId="528B65E2" w14:textId="38D3D0BB" w:rsidR="00B53C63" w:rsidRDefault="00B53C63" w:rsidP="0032494E">
      <w:pPr>
        <w:pStyle w:val="sectbody"/>
        <w:spacing w:after="0" w:line="480" w:lineRule="auto"/>
        <w:rPr>
          <w:rFonts w:ascii="Century Schoolbook" w:hAnsi="Century Schoolbook"/>
          <w:color w:val="000000"/>
          <w:sz w:val="28"/>
          <w:szCs w:val="28"/>
        </w:rPr>
      </w:pPr>
      <w:r w:rsidRPr="00EE70FE">
        <w:rPr>
          <w:rFonts w:ascii="Century Schoolbook" w:hAnsi="Century Schoolbook"/>
          <w:color w:val="000000"/>
          <w:sz w:val="28"/>
          <w:szCs w:val="28"/>
        </w:rPr>
        <w:t>             (</w:t>
      </w:r>
      <w:r w:rsidRPr="00B53C63">
        <w:rPr>
          <w:rFonts w:ascii="Century Schoolbook" w:hAnsi="Century Schoolbook"/>
          <w:color w:val="000000"/>
          <w:sz w:val="28"/>
          <w:szCs w:val="28"/>
        </w:rPr>
        <w:t>C) Photographs, illustrations, and tables may be reproduced by any method</w:t>
      </w:r>
      <w:r>
        <w:rPr>
          <w:rFonts w:ascii="Century Schoolbook" w:hAnsi="Century Schoolbook"/>
          <w:color w:val="000000"/>
          <w:sz w:val="28"/>
          <w:szCs w:val="28"/>
        </w:rPr>
        <w:t xml:space="preserve"> </w:t>
      </w:r>
      <w:r w:rsidRPr="00B53C63">
        <w:rPr>
          <w:rFonts w:ascii="Century Schoolbook" w:hAnsi="Century Schoolbook"/>
          <w:color w:val="000000"/>
          <w:sz w:val="28"/>
          <w:szCs w:val="28"/>
        </w:rPr>
        <w:t>that results in a good copy of the original; a glossy finish is acceptable if</w:t>
      </w:r>
      <w:r>
        <w:rPr>
          <w:rFonts w:ascii="Century Schoolbook" w:hAnsi="Century Schoolbook"/>
          <w:color w:val="000000"/>
          <w:sz w:val="28"/>
          <w:szCs w:val="28"/>
        </w:rPr>
        <w:t xml:space="preserve"> </w:t>
      </w:r>
      <w:r w:rsidRPr="00B53C63">
        <w:rPr>
          <w:rFonts w:ascii="Century Schoolbook" w:hAnsi="Century Schoolbook"/>
          <w:color w:val="000000"/>
          <w:sz w:val="28"/>
          <w:szCs w:val="28"/>
        </w:rPr>
        <w:t>the original is glossy.</w:t>
      </w:r>
    </w:p>
    <w:p w14:paraId="05C2576C" w14:textId="73E3F340"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(2)</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Cover.</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 The front cover of a </w:t>
      </w:r>
      <w:proofErr w:type="gramStart"/>
      <w:r w:rsidRPr="00EE70FE">
        <w:rPr>
          <w:rFonts w:ascii="Century Schoolbook" w:hAnsi="Century Schoolbook"/>
          <w:color w:val="000000"/>
          <w:sz w:val="28"/>
          <w:szCs w:val="28"/>
        </w:rPr>
        <w:t xml:space="preserve">brief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contain:</w:t>
      </w:r>
    </w:p>
    <w:p w14:paraId="0BA08D4C"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(A)</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the name of the court and the number of the </w:t>
      </w:r>
      <w:proofErr w:type="gramStart"/>
      <w:r w:rsidRPr="00EE70FE">
        <w:rPr>
          <w:rFonts w:ascii="Century Schoolbook" w:hAnsi="Century Schoolbook"/>
          <w:color w:val="000000"/>
          <w:sz w:val="28"/>
          <w:szCs w:val="28"/>
        </w:rPr>
        <w:t>case;</w:t>
      </w:r>
      <w:proofErr w:type="gramEnd"/>
    </w:p>
    <w:p w14:paraId="295965E4" w14:textId="55997C4D"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(B)</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title of the case (see Rule 12(a)</w:t>
      </w:r>
      <w:proofErr w:type="gramStart"/>
      <w:r w:rsidRPr="00EE70FE">
        <w:rPr>
          <w:rFonts w:ascii="Century Schoolbook" w:hAnsi="Century Schoolbook"/>
          <w:color w:val="000000"/>
          <w:sz w:val="28"/>
          <w:szCs w:val="28"/>
        </w:rPr>
        <w:t>);</w:t>
      </w:r>
      <w:proofErr w:type="gramEnd"/>
    </w:p>
    <w:p w14:paraId="65A6A807"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(C)</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the nature of the proceedings in the court (e.g., Appeal) and the name of the court </w:t>
      </w:r>
      <w:proofErr w:type="gramStart"/>
      <w:r w:rsidRPr="00EE70FE">
        <w:rPr>
          <w:rFonts w:ascii="Century Schoolbook" w:hAnsi="Century Schoolbook"/>
          <w:color w:val="000000"/>
          <w:sz w:val="28"/>
          <w:szCs w:val="28"/>
        </w:rPr>
        <w:t>below;</w:t>
      </w:r>
      <w:proofErr w:type="gramEnd"/>
    </w:p>
    <w:p w14:paraId="45890A55"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lastRenderedPageBreak/>
        <w:t>             (D)</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title of the document (e.g., Appellant’s Opening Brief, Respondent’s Answering Brief); and</w:t>
      </w:r>
    </w:p>
    <w:p w14:paraId="355E2709"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(E)</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names, addresses, telephone numbers, and State Bar of Nevada identification numbers of counsel, if any, representing the party for whom the brief is filed.</w:t>
      </w:r>
    </w:p>
    <w:p w14:paraId="0D0D4F26"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(3)</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Binding.</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brief must be bound in any manner that is secure, does not obscure the text, and permits the brief to lie reasonably flat when open.</w:t>
      </w:r>
    </w:p>
    <w:p w14:paraId="31CEF9B5" w14:textId="604F0EC8"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(4)</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Paper Size, Line Spacing, Margins, and Page Numbers.</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The brief must be on 8 1/2 by 11-inch paper. The text </w:t>
      </w:r>
      <w:r w:rsidR="00B53C63">
        <w:rPr>
          <w:rFonts w:ascii="Century Schoolbook" w:hAnsi="Century Schoolbook"/>
          <w:color w:val="000000"/>
          <w:sz w:val="28"/>
          <w:szCs w:val="28"/>
        </w:rPr>
        <w:t>must</w:t>
      </w:r>
      <w:r w:rsidR="00B53C63" w:rsidRPr="00EE70FE">
        <w:rPr>
          <w:rFonts w:ascii="Century Schoolbook" w:hAnsi="Century Schoolbook"/>
          <w:color w:val="000000"/>
          <w:sz w:val="28"/>
          <w:szCs w:val="28"/>
        </w:rPr>
        <w:t xml:space="preserve"> </w:t>
      </w:r>
      <w:r w:rsidRPr="00EE70FE">
        <w:rPr>
          <w:rFonts w:ascii="Century Schoolbook" w:hAnsi="Century Schoolbook"/>
          <w:color w:val="000000"/>
          <w:sz w:val="28"/>
          <w:szCs w:val="28"/>
        </w:rPr>
        <w:t xml:space="preserve">be double-spaced, except that quotations of more than two lines may be indented and single-spaced. Headings and footnotes may be single-spaced. Margins must be at least 1 inch on all four sides. The </w:t>
      </w:r>
      <w:proofErr w:type="gramStart"/>
      <w:r w:rsidRPr="00EE70FE">
        <w:rPr>
          <w:rFonts w:ascii="Century Schoolbook" w:hAnsi="Century Schoolbook"/>
          <w:color w:val="000000"/>
          <w:sz w:val="28"/>
          <w:szCs w:val="28"/>
        </w:rPr>
        <w:t xml:space="preserve">pages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be consecutively numbered at the bottom. Pages in the brief preceding the statement of the case must be numbered in lowercase Roman numerals, and pages in the brief beginning with the statement of the case must be numbered in Arabic numerals.</w:t>
      </w:r>
    </w:p>
    <w:p w14:paraId="13DF3DF8"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lastRenderedPageBreak/>
        <w:t>      (5)</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Typeface.</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Either a proportionally spaced or a monospaced typeface may be used. Footnotes must be in the same size and typeface as the body of the brief.</w:t>
      </w:r>
    </w:p>
    <w:p w14:paraId="76590A2A" w14:textId="1322C56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(A)</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A proportionally spaced typeface (e.g., </w:t>
      </w:r>
      <w:r w:rsidRPr="00CC5E5D">
        <w:rPr>
          <w:rFonts w:ascii="Century Schoolbook" w:hAnsi="Century Schoolbook"/>
          <w:color w:val="000000"/>
          <w:sz w:val="28"/>
          <w:szCs w:val="28"/>
        </w:rPr>
        <w:t xml:space="preserve">Century Schoolbook, Times New Roman, </w:t>
      </w:r>
      <w:r w:rsidR="00B71167" w:rsidRPr="0032494E">
        <w:rPr>
          <w:rFonts w:ascii="Century Schoolbook" w:hAnsi="Century Schoolbook"/>
          <w:color w:val="000000"/>
          <w:sz w:val="28"/>
          <w:szCs w:val="28"/>
        </w:rPr>
        <w:t>Garamond</w:t>
      </w:r>
      <w:r w:rsidR="00CC5E5D">
        <w:rPr>
          <w:rFonts w:ascii="Century Schoolbook" w:hAnsi="Century Schoolbook"/>
          <w:color w:val="000000"/>
          <w:sz w:val="28"/>
          <w:szCs w:val="28"/>
        </w:rPr>
        <w:t>, Georgia, and Palatino</w:t>
      </w:r>
      <w:r w:rsidRPr="00EE70FE">
        <w:rPr>
          <w:rFonts w:ascii="Century Schoolbook" w:hAnsi="Century Schoolbook"/>
          <w:color w:val="000000"/>
          <w:sz w:val="28"/>
          <w:szCs w:val="28"/>
        </w:rPr>
        <w:t>) must be 14-point or larger.</w:t>
      </w:r>
    </w:p>
    <w:p w14:paraId="50E7DA81"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(B)</w:t>
      </w:r>
      <w:r w:rsidRPr="00EE70FE">
        <w:rPr>
          <w:rFonts w:ascii="Century Schoolbook" w:hAnsi="Century Schoolbook"/>
          <w:color w:val="000000"/>
          <w:sz w:val="28"/>
          <w:szCs w:val="28"/>
        </w:rPr>
        <w:t> </w:t>
      </w:r>
      <w:r w:rsidRPr="00EE70FE">
        <w:rPr>
          <w:rFonts w:ascii="Century Schoolbook" w:hAnsi="Century Schoolbook"/>
          <w:color w:val="000000"/>
          <w:sz w:val="28"/>
          <w:szCs w:val="28"/>
        </w:rPr>
        <w:t>A monospaced typeface (e.g., Courier and Pica) may not contain more than 10 1/2 characters per inch (e.g., Courier 12-point).</w:t>
      </w:r>
    </w:p>
    <w:p w14:paraId="13B735EE" w14:textId="229AF8D2"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(C)</w:t>
      </w:r>
      <w:r w:rsidRPr="00EE70FE">
        <w:rPr>
          <w:rFonts w:ascii="Century Schoolbook" w:hAnsi="Century Schoolbook"/>
          <w:color w:val="000000"/>
          <w:sz w:val="28"/>
          <w:szCs w:val="28"/>
        </w:rPr>
        <w:t> </w:t>
      </w:r>
      <w:r w:rsidRPr="00EE70FE">
        <w:rPr>
          <w:rFonts w:ascii="Century Schoolbook" w:hAnsi="Century Schoolbook"/>
          <w:color w:val="000000"/>
          <w:sz w:val="28"/>
          <w:szCs w:val="28"/>
        </w:rPr>
        <w:t>Unrepresented litigants may use elite type, 12 characters per inch, if they lack access to a typewriter with larger characters.</w:t>
      </w:r>
    </w:p>
    <w:p w14:paraId="769C9F62"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(6)</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Type Styles.</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A brief must be set in a plain, roman style, although underlining, italics or boldface may be used for emphasis. Case names must be italicized or underlined.</w:t>
      </w:r>
    </w:p>
    <w:p w14:paraId="72DB02A7"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(7)</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Length.</w:t>
      </w:r>
    </w:p>
    <w:p w14:paraId="5701B794"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(A)</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Noncapital Cases.</w:t>
      </w:r>
    </w:p>
    <w:p w14:paraId="77EC8CCB" w14:textId="4DC9AE85"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w:t>
      </w:r>
      <w:r w:rsidRPr="00EE70FE">
        <w:rPr>
          <w:rFonts w:ascii="Century Schoolbook" w:hAnsi="Century Schoolbook"/>
          <w:b/>
          <w:bCs/>
          <w:color w:val="000000"/>
          <w:sz w:val="28"/>
          <w:szCs w:val="28"/>
        </w:rPr>
        <w:t>(i)</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Page Limitation.</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Unless it complies with Rule 32(a)(7)(A)(ii) or permission of the court is obtained under Rule 32(a)(7)(D), an opening or answering </w:t>
      </w:r>
      <w:proofErr w:type="gramStart"/>
      <w:r w:rsidRPr="00EE70FE">
        <w:rPr>
          <w:rFonts w:ascii="Century Schoolbook" w:hAnsi="Century Schoolbook"/>
          <w:color w:val="000000"/>
          <w:sz w:val="28"/>
          <w:szCs w:val="28"/>
        </w:rPr>
        <w:t xml:space="preserve">brief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not exceed 30 pages, and a reply brief </w:t>
      </w:r>
      <w:r w:rsidR="00B53C63">
        <w:rPr>
          <w:rFonts w:ascii="Century Schoolbook" w:hAnsi="Century Schoolbook"/>
          <w:color w:val="000000"/>
          <w:sz w:val="28"/>
          <w:szCs w:val="28"/>
        </w:rPr>
        <w:t xml:space="preserve"> must</w:t>
      </w:r>
      <w:r w:rsidRPr="00EE70FE">
        <w:rPr>
          <w:rFonts w:ascii="Century Schoolbook" w:hAnsi="Century Schoolbook"/>
          <w:color w:val="000000"/>
          <w:sz w:val="28"/>
          <w:szCs w:val="28"/>
        </w:rPr>
        <w:t xml:space="preserve"> not exceed 15 pages.</w:t>
      </w:r>
    </w:p>
    <w:p w14:paraId="48E23464"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lastRenderedPageBreak/>
        <w:t>             (ii)</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Type-Volume Limitation.</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An opening or answering brief is acceptable if it contains no more than 14,000 words, or if it uses a monospaced typeface, and contains no more than 1,300 lines of text. A reply brief is acceptable if it contains no more than half the type-volume specified for an opening or answering brief under this Rule.</w:t>
      </w:r>
    </w:p>
    <w:p w14:paraId="2900C8DB"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(B)</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Capital Cases.</w:t>
      </w:r>
    </w:p>
    <w:p w14:paraId="1E263BF3" w14:textId="1DA65FC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w:t>
      </w:r>
      <w:r w:rsidRPr="00EE70FE">
        <w:rPr>
          <w:rFonts w:ascii="Century Schoolbook" w:hAnsi="Century Schoolbook"/>
          <w:b/>
          <w:bCs/>
          <w:color w:val="000000"/>
          <w:sz w:val="28"/>
          <w:szCs w:val="28"/>
        </w:rPr>
        <w:t>(i)</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Page Limitation.</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Unless it complies with Rule 32(a)(7)(B)(ii) or permission of the court is obtained under Rule 32(a)(7)(D), an opening or answering brief in a capital </w:t>
      </w:r>
      <w:proofErr w:type="gramStart"/>
      <w:r w:rsidRPr="00EE70FE">
        <w:rPr>
          <w:rFonts w:ascii="Century Schoolbook" w:hAnsi="Century Schoolbook"/>
          <w:color w:val="000000"/>
          <w:sz w:val="28"/>
          <w:szCs w:val="28"/>
        </w:rPr>
        <w:t xml:space="preserve">case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not exceed 80 pages, and a reply brief in a capital case </w:t>
      </w:r>
      <w:r w:rsidR="00B53C63">
        <w:rPr>
          <w:rFonts w:ascii="Century Schoolbook" w:hAnsi="Century Schoolbook"/>
          <w:color w:val="000000"/>
          <w:sz w:val="28"/>
          <w:szCs w:val="28"/>
        </w:rPr>
        <w:t xml:space="preserve"> must</w:t>
      </w:r>
      <w:r w:rsidRPr="00EE70FE">
        <w:rPr>
          <w:rFonts w:ascii="Century Schoolbook" w:hAnsi="Century Schoolbook"/>
          <w:color w:val="000000"/>
          <w:sz w:val="28"/>
          <w:szCs w:val="28"/>
        </w:rPr>
        <w:t xml:space="preserve"> not exceed 40 pages.</w:t>
      </w:r>
    </w:p>
    <w:p w14:paraId="3BD68A35" w14:textId="12B50660"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(ii)</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Type-Volume Limitation.</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An opening or answering brief in a capital case is acceptable if it contains no more than 37,000 words, or if it uses a monospaced </w:t>
      </w:r>
      <w:proofErr w:type="gramStart"/>
      <w:r w:rsidRPr="00EE70FE">
        <w:rPr>
          <w:rFonts w:ascii="Century Schoolbook" w:hAnsi="Century Schoolbook"/>
          <w:color w:val="000000"/>
          <w:sz w:val="28"/>
          <w:szCs w:val="28"/>
        </w:rPr>
        <w:t xml:space="preserve">typeface,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contain no more than 3,500 lines of text. A reply brief in a capital case is acceptable if it contains no more than half the type-volume specified in this Rule for an opening or answering brief in a capital case.</w:t>
      </w:r>
    </w:p>
    <w:p w14:paraId="3080DE2F" w14:textId="489FA40C"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(C)</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Computing Page- and Type-Volume Limitation.</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disclosure statement, table of contents, table of authorities,</w:t>
      </w:r>
      <w:r w:rsidR="000936B8">
        <w:rPr>
          <w:rFonts w:ascii="Century Schoolbook" w:hAnsi="Century Schoolbook"/>
          <w:color w:val="000000"/>
          <w:sz w:val="28"/>
          <w:szCs w:val="28"/>
        </w:rPr>
        <w:t xml:space="preserve"> signature </w:t>
      </w:r>
      <w:r w:rsidR="000936B8">
        <w:rPr>
          <w:rFonts w:ascii="Century Schoolbook" w:hAnsi="Century Schoolbook"/>
          <w:color w:val="000000"/>
          <w:sz w:val="28"/>
          <w:szCs w:val="28"/>
        </w:rPr>
        <w:lastRenderedPageBreak/>
        <w:t>blocks,</w:t>
      </w:r>
      <w:r w:rsidRPr="00EE70FE">
        <w:rPr>
          <w:rFonts w:ascii="Century Schoolbook" w:hAnsi="Century Schoolbook"/>
          <w:color w:val="000000"/>
          <w:sz w:val="28"/>
          <w:szCs w:val="28"/>
        </w:rPr>
        <w:t xml:space="preserve"> required certificate of service and compliance with these Rules, and any addendum containing statutes, rules, or regulations do not count toward a brief’s page- or type-volume limitation. The page- or type-volume limitation applies to all other portions of the brief beginning with the statement of the case, including headings, footnotes, and quotations.</w:t>
      </w:r>
    </w:p>
    <w:p w14:paraId="5AD87D20"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(D)</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Permission to Exceed Page Limit or Type-Volume Limitation.</w:t>
      </w:r>
    </w:p>
    <w:p w14:paraId="3E451C7A"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(i)</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court looks with disfavor on motions to exceed the applicable page limit or type-volume limitation, and therefore, permission to exceed the page limit or type-volume limitation will not be routinely granted. A motion to file a brief that exceeds the applicable page limit or type-volume limitation will be granted only upon a showing of diligence and good cause. The court will not consider the cost of preparing and revising the brief in ruling on the motion.</w:t>
      </w:r>
    </w:p>
    <w:p w14:paraId="7C6244B7" w14:textId="3E61EE8B"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(ii)</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A motion seeking an enlargement of the page limit or type-volume limitation for a </w:t>
      </w:r>
      <w:proofErr w:type="gramStart"/>
      <w:r w:rsidRPr="00EE70FE">
        <w:rPr>
          <w:rFonts w:ascii="Century Schoolbook" w:hAnsi="Century Schoolbook"/>
          <w:color w:val="000000"/>
          <w:sz w:val="28"/>
          <w:szCs w:val="28"/>
        </w:rPr>
        <w:t xml:space="preserve">brief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be filed on or before the brief’s due date and </w:t>
      </w:r>
      <w:r w:rsidR="00B53C63">
        <w:rPr>
          <w:rFonts w:ascii="Century Schoolbook" w:hAnsi="Century Schoolbook"/>
          <w:color w:val="000000"/>
          <w:sz w:val="28"/>
          <w:szCs w:val="28"/>
        </w:rPr>
        <w:t xml:space="preserve"> must</w:t>
      </w:r>
      <w:r w:rsidRPr="00EE70FE">
        <w:rPr>
          <w:rFonts w:ascii="Century Schoolbook" w:hAnsi="Century Schoolbook"/>
          <w:color w:val="000000"/>
          <w:sz w:val="28"/>
          <w:szCs w:val="28"/>
        </w:rPr>
        <w:t xml:space="preserve"> </w:t>
      </w:r>
      <w:r w:rsidR="00003431">
        <w:rPr>
          <w:rFonts w:ascii="Century Schoolbook" w:hAnsi="Century Schoolbook"/>
          <w:color w:val="000000"/>
          <w:sz w:val="28"/>
          <w:szCs w:val="28"/>
        </w:rPr>
        <w:t>state</w:t>
      </w:r>
      <w:r w:rsidRPr="00EE70FE">
        <w:rPr>
          <w:rFonts w:ascii="Century Schoolbook" w:hAnsi="Century Schoolbook"/>
          <w:color w:val="000000"/>
          <w:sz w:val="28"/>
          <w:szCs w:val="28"/>
        </w:rPr>
        <w:t xml:space="preserve"> in detail the reasons for the motion and the number of additional pages, words, or lines of text requested. A motion </w:t>
      </w:r>
      <w:r w:rsidRPr="00EE70FE">
        <w:rPr>
          <w:rFonts w:ascii="Century Schoolbook" w:hAnsi="Century Schoolbook"/>
          <w:color w:val="000000"/>
          <w:sz w:val="28"/>
          <w:szCs w:val="28"/>
        </w:rPr>
        <w:lastRenderedPageBreak/>
        <w:t xml:space="preserve">to exceed the type-volume </w:t>
      </w:r>
      <w:proofErr w:type="gramStart"/>
      <w:r w:rsidRPr="00EE70FE">
        <w:rPr>
          <w:rFonts w:ascii="Century Schoolbook" w:hAnsi="Century Schoolbook"/>
          <w:color w:val="000000"/>
          <w:sz w:val="28"/>
          <w:szCs w:val="28"/>
        </w:rPr>
        <w:t xml:space="preserve">limitation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be accompanied by a certification as required by Rule 32(a)(9)(C) as to the line or word count.</w:t>
      </w:r>
    </w:p>
    <w:p w14:paraId="60F31CDC" w14:textId="4E09130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(iii)</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The </w:t>
      </w:r>
      <w:proofErr w:type="gramStart"/>
      <w:r w:rsidRPr="00EE70FE">
        <w:rPr>
          <w:rFonts w:ascii="Century Schoolbook" w:hAnsi="Century Schoolbook"/>
          <w:color w:val="000000"/>
          <w:sz w:val="28"/>
          <w:szCs w:val="28"/>
        </w:rPr>
        <w:t xml:space="preserve">motion </w:t>
      </w:r>
      <w:r w:rsidR="00B53C63">
        <w:rPr>
          <w:rFonts w:ascii="Century Schoolbook" w:hAnsi="Century Schoolbook"/>
          <w:color w:val="000000"/>
          <w:sz w:val="28"/>
          <w:szCs w:val="28"/>
        </w:rPr>
        <w:t xml:space="preserve"> must</w:t>
      </w:r>
      <w:proofErr w:type="gramEnd"/>
      <w:r w:rsidRPr="00EE70FE">
        <w:rPr>
          <w:rFonts w:ascii="Century Schoolbook" w:hAnsi="Century Schoolbook"/>
          <w:color w:val="000000"/>
          <w:sz w:val="28"/>
          <w:szCs w:val="28"/>
        </w:rPr>
        <w:t xml:space="preserve"> also be accompanied by a single copy of the brief the applicant proposes to file.</w:t>
      </w:r>
    </w:p>
    <w:p w14:paraId="496450DA" w14:textId="560AEA85"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(8)</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Handwritten Briefs.</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 </w:t>
      </w:r>
      <w:r w:rsidRPr="00EE70FE">
        <w:rPr>
          <w:rFonts w:ascii="Century Schoolbook" w:hAnsi="Century Schoolbook"/>
          <w:color w:val="000000"/>
          <w:sz w:val="28"/>
          <w:szCs w:val="28"/>
        </w:rPr>
        <w:t xml:space="preserve">A pro se party who is incarcerated or detained in a state prison or county </w:t>
      </w:r>
      <w:proofErr w:type="gramStart"/>
      <w:r w:rsidRPr="00EE70FE">
        <w:rPr>
          <w:rFonts w:ascii="Century Schoolbook" w:hAnsi="Century Schoolbook"/>
          <w:color w:val="000000"/>
          <w:sz w:val="28"/>
          <w:szCs w:val="28"/>
        </w:rPr>
        <w:t>jail</w:t>
      </w:r>
      <w:proofErr w:type="gramEnd"/>
      <w:r w:rsidRPr="00EE70FE">
        <w:rPr>
          <w:rFonts w:ascii="Century Schoolbook" w:hAnsi="Century Schoolbook"/>
          <w:color w:val="000000"/>
          <w:sz w:val="28"/>
          <w:szCs w:val="28"/>
        </w:rPr>
        <w:t xml:space="preserve"> or other facility may file documents under this Rule that are legibly handwritten in black</w:t>
      </w:r>
      <w:r w:rsidR="00E84EAC">
        <w:rPr>
          <w:rFonts w:ascii="Century Schoolbook" w:hAnsi="Century Schoolbook"/>
          <w:color w:val="000000"/>
          <w:sz w:val="28"/>
          <w:szCs w:val="28"/>
        </w:rPr>
        <w:t xml:space="preserve"> or blue</w:t>
      </w:r>
      <w:r w:rsidRPr="00EE70FE">
        <w:rPr>
          <w:rFonts w:ascii="Century Schoolbook" w:hAnsi="Century Schoolbook"/>
          <w:color w:val="000000"/>
          <w:sz w:val="28"/>
          <w:szCs w:val="28"/>
        </w:rPr>
        <w:t xml:space="preserve"> ink and that otherwise conform to the requirements of this Rule. Handwritten documents are not otherwise permitted without leave of the court.</w:t>
      </w:r>
    </w:p>
    <w:p w14:paraId="1C4D7EC1"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(9)</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Certificate of Compliance.</w:t>
      </w:r>
    </w:p>
    <w:p w14:paraId="074D911A" w14:textId="349B82D1" w:rsidR="001D1FA7" w:rsidRPr="0032494E" w:rsidRDefault="001D1FA7" w:rsidP="0032494E">
      <w:pPr>
        <w:pStyle w:val="ListParagraph"/>
        <w:spacing w:after="0" w:line="480" w:lineRule="auto"/>
        <w:ind w:left="0" w:firstLine="720"/>
        <w:rPr>
          <w:rFonts w:ascii="Century Schoolbook" w:eastAsia="Times New Roman" w:hAnsi="Century Schoolbook" w:cs="Times New Roman"/>
          <w:color w:val="000000"/>
          <w:kern w:val="0"/>
          <w:sz w:val="28"/>
          <w:szCs w:val="28"/>
          <w14:ligatures w14:val="none"/>
        </w:rPr>
      </w:pPr>
      <w:r>
        <w:rPr>
          <w:rFonts w:ascii="Century Schoolbook" w:eastAsia="Times New Roman" w:hAnsi="Century Schoolbook" w:cs="Times New Roman"/>
          <w:color w:val="000000"/>
          <w:kern w:val="0"/>
          <w:sz w:val="28"/>
          <w:szCs w:val="28"/>
          <w14:ligatures w14:val="none"/>
        </w:rPr>
        <w:t xml:space="preserve">(a) </w:t>
      </w:r>
      <w:r w:rsidRPr="0032494E">
        <w:rPr>
          <w:rFonts w:ascii="Century Schoolbook" w:eastAsia="Times New Roman" w:hAnsi="Century Schoolbook" w:cs="Times New Roman"/>
          <w:b/>
          <w:bCs/>
          <w:color w:val="000000"/>
          <w:kern w:val="0"/>
          <w:sz w:val="28"/>
          <w:szCs w:val="28"/>
          <w14:ligatures w14:val="none"/>
        </w:rPr>
        <w:t>Certificate Required Upon Filing of Any Brief.</w:t>
      </w:r>
      <w:r w:rsidRPr="0032494E">
        <w:rPr>
          <w:rFonts w:ascii="Century Schoolbook" w:eastAsia="Times New Roman" w:hAnsi="Century Schoolbook" w:cs="Times New Roman"/>
          <w:color w:val="000000"/>
          <w:kern w:val="0"/>
          <w:sz w:val="28"/>
          <w:szCs w:val="28"/>
          <w14:ligatures w14:val="none"/>
        </w:rPr>
        <w:t xml:space="preserve"> </w:t>
      </w:r>
      <w:r>
        <w:rPr>
          <w:rFonts w:ascii="Century Schoolbook" w:eastAsia="Times New Roman" w:hAnsi="Century Schoolbook" w:cs="Times New Roman"/>
          <w:color w:val="000000"/>
          <w:kern w:val="0"/>
          <w:sz w:val="28"/>
          <w:szCs w:val="28"/>
          <w14:ligatures w14:val="none"/>
        </w:rPr>
        <w:t>All briefs</w:t>
      </w:r>
      <w:r w:rsidRPr="0032494E">
        <w:rPr>
          <w:rFonts w:ascii="Century Schoolbook" w:eastAsia="Times New Roman" w:hAnsi="Century Schoolbook" w:cs="Times New Roman"/>
          <w:color w:val="000000"/>
          <w:kern w:val="0"/>
          <w:sz w:val="28"/>
          <w:szCs w:val="28"/>
          <w14:ligatures w14:val="none"/>
        </w:rPr>
        <w:t xml:space="preserve"> must </w:t>
      </w:r>
      <w:r>
        <w:rPr>
          <w:rFonts w:ascii="Century Schoolbook" w:eastAsia="Times New Roman" w:hAnsi="Century Schoolbook" w:cs="Times New Roman"/>
          <w:color w:val="000000"/>
          <w:kern w:val="0"/>
          <w:sz w:val="28"/>
          <w:szCs w:val="28"/>
          <w14:ligatures w14:val="none"/>
        </w:rPr>
        <w:t>include</w:t>
      </w:r>
      <w:r w:rsidRPr="0032494E">
        <w:rPr>
          <w:rFonts w:ascii="Century Schoolbook" w:eastAsia="Times New Roman" w:hAnsi="Century Schoolbook" w:cs="Times New Roman"/>
          <w:color w:val="000000"/>
          <w:kern w:val="0"/>
          <w:sz w:val="28"/>
          <w:szCs w:val="28"/>
          <w14:ligatures w14:val="none"/>
        </w:rPr>
        <w:t xml:space="preserve"> a certificate </w:t>
      </w:r>
      <w:r>
        <w:rPr>
          <w:rFonts w:ascii="Century Schoolbook" w:eastAsia="Times New Roman" w:hAnsi="Century Schoolbook" w:cs="Times New Roman"/>
          <w:color w:val="000000"/>
          <w:kern w:val="0"/>
          <w:sz w:val="28"/>
          <w:szCs w:val="28"/>
          <w14:ligatures w14:val="none"/>
        </w:rPr>
        <w:t xml:space="preserve">of compliance. The certificate must be signed by the unrepresented party or </w:t>
      </w:r>
      <w:r w:rsidRPr="00C91B85">
        <w:rPr>
          <w:rFonts w:ascii="Century Schoolbook" w:eastAsia="Times New Roman" w:hAnsi="Century Schoolbook" w:cs="Times New Roman"/>
          <w:color w:val="000000"/>
          <w:kern w:val="0"/>
          <w:sz w:val="28"/>
          <w:szCs w:val="28"/>
          <w14:ligatures w14:val="none"/>
        </w:rPr>
        <w:t xml:space="preserve">an active member of the </w:t>
      </w:r>
      <w:r>
        <w:rPr>
          <w:rFonts w:ascii="Century Schoolbook" w:eastAsia="Times New Roman" w:hAnsi="Century Schoolbook" w:cs="Times New Roman"/>
          <w:color w:val="000000"/>
          <w:kern w:val="0"/>
          <w:sz w:val="28"/>
          <w:szCs w:val="28"/>
          <w14:ligatures w14:val="none"/>
        </w:rPr>
        <w:t xml:space="preserve">State Bar of Nevada. </w:t>
      </w:r>
      <w:r w:rsidRPr="0032494E">
        <w:rPr>
          <w:rFonts w:ascii="Century Schoolbook" w:eastAsia="Times New Roman" w:hAnsi="Century Schoolbook" w:cs="Times New Roman"/>
          <w:color w:val="000000"/>
          <w:kern w:val="0"/>
          <w:sz w:val="28"/>
          <w:szCs w:val="28"/>
          <w14:ligatures w14:val="none"/>
        </w:rPr>
        <w:t>Th</w:t>
      </w:r>
      <w:r>
        <w:rPr>
          <w:rFonts w:ascii="Century Schoolbook" w:eastAsia="Times New Roman" w:hAnsi="Century Schoolbook" w:cs="Times New Roman"/>
          <w:color w:val="000000"/>
          <w:kern w:val="0"/>
          <w:sz w:val="28"/>
          <w:szCs w:val="28"/>
          <w14:ligatures w14:val="none"/>
        </w:rPr>
        <w:t>e</w:t>
      </w:r>
      <w:r w:rsidRPr="0032494E">
        <w:rPr>
          <w:rFonts w:ascii="Century Schoolbook" w:eastAsia="Times New Roman" w:hAnsi="Century Schoolbook" w:cs="Times New Roman"/>
          <w:color w:val="000000"/>
          <w:kern w:val="0"/>
          <w:sz w:val="28"/>
          <w:szCs w:val="28"/>
          <w14:ligatures w14:val="none"/>
        </w:rPr>
        <w:t xml:space="preserve"> certificate must substantially comply with Form 9 in the Appendix of Forms</w:t>
      </w:r>
      <w:r w:rsidR="00FE4CEA">
        <w:rPr>
          <w:rFonts w:ascii="Century Schoolbook" w:eastAsia="Times New Roman" w:hAnsi="Century Schoolbook" w:cs="Times New Roman"/>
          <w:color w:val="000000"/>
          <w:kern w:val="0"/>
          <w:sz w:val="28"/>
          <w:szCs w:val="28"/>
          <w14:ligatures w14:val="none"/>
        </w:rPr>
        <w:t>,</w:t>
      </w:r>
      <w:r w:rsidRPr="0032494E">
        <w:rPr>
          <w:rFonts w:ascii="Century Schoolbook" w:eastAsia="Times New Roman" w:hAnsi="Century Schoolbook" w:cs="Times New Roman"/>
          <w:color w:val="000000"/>
          <w:kern w:val="0"/>
          <w:sz w:val="28"/>
          <w:szCs w:val="28"/>
          <w14:ligatures w14:val="none"/>
        </w:rPr>
        <w:t xml:space="preserve"> </w:t>
      </w:r>
      <w:r w:rsidR="00FE4CEA">
        <w:rPr>
          <w:rFonts w:ascii="Century Schoolbook" w:eastAsia="Times New Roman" w:hAnsi="Century Schoolbook" w:cs="Times New Roman"/>
          <w:color w:val="000000"/>
          <w:kern w:val="0"/>
          <w:sz w:val="28"/>
          <w:szCs w:val="28"/>
          <w14:ligatures w14:val="none"/>
        </w:rPr>
        <w:t>representing that</w:t>
      </w:r>
      <w:r w:rsidRPr="0032494E">
        <w:rPr>
          <w:rFonts w:ascii="Century Schoolbook" w:eastAsia="Times New Roman" w:hAnsi="Century Schoolbook" w:cs="Times New Roman"/>
          <w:color w:val="000000"/>
          <w:kern w:val="0"/>
          <w:sz w:val="28"/>
          <w:szCs w:val="28"/>
          <w14:ligatures w14:val="none"/>
        </w:rPr>
        <w:t>:</w:t>
      </w:r>
    </w:p>
    <w:p w14:paraId="391E7518" w14:textId="02ADE744" w:rsidR="00FE4CEA" w:rsidRDefault="00FE4CEA" w:rsidP="0032494E">
      <w:pPr>
        <w:pStyle w:val="ListParagraph"/>
        <w:spacing w:after="0" w:line="480" w:lineRule="auto"/>
        <w:ind w:left="0" w:firstLine="1440"/>
        <w:rPr>
          <w:rFonts w:ascii="Century Schoolbook" w:eastAsia="Times New Roman" w:hAnsi="Century Schoolbook" w:cs="Times New Roman"/>
          <w:color w:val="000000"/>
          <w:kern w:val="0"/>
          <w:sz w:val="28"/>
          <w:szCs w:val="28"/>
          <w14:ligatures w14:val="none"/>
        </w:rPr>
      </w:pPr>
      <w:r>
        <w:rPr>
          <w:rFonts w:ascii="Century Schoolbook" w:eastAsia="Times New Roman" w:hAnsi="Century Schoolbook" w:cs="Times New Roman"/>
          <w:color w:val="000000"/>
          <w:kern w:val="0"/>
          <w:sz w:val="28"/>
          <w:szCs w:val="28"/>
          <w14:ligatures w14:val="none"/>
        </w:rPr>
        <w:t xml:space="preserve">(1) </w:t>
      </w:r>
      <w:r w:rsidR="001D1FA7" w:rsidRPr="0032494E">
        <w:rPr>
          <w:rFonts w:ascii="Century Schoolbook" w:eastAsia="Times New Roman" w:hAnsi="Century Schoolbook" w:cs="Times New Roman"/>
          <w:color w:val="000000"/>
          <w:kern w:val="0"/>
          <w:sz w:val="28"/>
          <w:szCs w:val="28"/>
          <w14:ligatures w14:val="none"/>
        </w:rPr>
        <w:t xml:space="preserve">the signing attorney has read the </w:t>
      </w:r>
      <w:proofErr w:type="gramStart"/>
      <w:r w:rsidR="001D1FA7" w:rsidRPr="0032494E">
        <w:rPr>
          <w:rFonts w:ascii="Century Schoolbook" w:eastAsia="Times New Roman" w:hAnsi="Century Schoolbook" w:cs="Times New Roman"/>
          <w:color w:val="000000"/>
          <w:kern w:val="0"/>
          <w:sz w:val="28"/>
          <w:szCs w:val="28"/>
          <w14:ligatures w14:val="none"/>
        </w:rPr>
        <w:t>brief;</w:t>
      </w:r>
      <w:proofErr w:type="gramEnd"/>
    </w:p>
    <w:p w14:paraId="13BE6F71" w14:textId="3D500C68" w:rsidR="001D1FA7" w:rsidRPr="0032494E" w:rsidRDefault="00FE4CEA" w:rsidP="0032494E">
      <w:pPr>
        <w:pStyle w:val="ListParagraph"/>
        <w:spacing w:after="0" w:line="480" w:lineRule="auto"/>
        <w:ind w:left="0" w:firstLine="1440"/>
        <w:rPr>
          <w:rFonts w:ascii="Century Schoolbook" w:eastAsia="Times New Roman" w:hAnsi="Century Schoolbook" w:cs="Times New Roman"/>
          <w:color w:val="000000"/>
          <w:kern w:val="0"/>
          <w:sz w:val="28"/>
          <w:szCs w:val="28"/>
          <w14:ligatures w14:val="none"/>
        </w:rPr>
      </w:pPr>
      <w:r>
        <w:rPr>
          <w:rFonts w:ascii="Century Schoolbook" w:eastAsia="Times New Roman" w:hAnsi="Century Schoolbook" w:cs="Times New Roman"/>
          <w:color w:val="000000"/>
          <w:kern w:val="0"/>
          <w:sz w:val="28"/>
          <w:szCs w:val="28"/>
          <w14:ligatures w14:val="none"/>
        </w:rPr>
        <w:t xml:space="preserve">(2) </w:t>
      </w:r>
      <w:r w:rsidR="001D1FA7" w:rsidRPr="0032494E">
        <w:rPr>
          <w:rFonts w:ascii="Century Schoolbook" w:eastAsia="Times New Roman" w:hAnsi="Century Schoolbook" w:cs="Times New Roman"/>
          <w:color w:val="000000"/>
          <w:kern w:val="0"/>
          <w:sz w:val="28"/>
          <w:szCs w:val="28"/>
          <w14:ligatures w14:val="none"/>
        </w:rPr>
        <w:t xml:space="preserve">the brief is not frivolous or interposed for any improper </w:t>
      </w:r>
      <w:proofErr w:type="gramStart"/>
      <w:r w:rsidR="001D1FA7" w:rsidRPr="0032494E">
        <w:rPr>
          <w:rFonts w:ascii="Century Schoolbook" w:eastAsia="Times New Roman" w:hAnsi="Century Schoolbook" w:cs="Times New Roman"/>
          <w:color w:val="000000"/>
          <w:kern w:val="0"/>
          <w:sz w:val="28"/>
          <w:szCs w:val="28"/>
          <w14:ligatures w14:val="none"/>
        </w:rPr>
        <w:t>purpose;</w:t>
      </w:r>
      <w:proofErr w:type="gramEnd"/>
    </w:p>
    <w:p w14:paraId="478829C3" w14:textId="52A3690E" w:rsidR="001D1FA7" w:rsidRPr="0032494E" w:rsidRDefault="00FE4CEA" w:rsidP="0032494E">
      <w:pPr>
        <w:pStyle w:val="ListParagraph"/>
        <w:spacing w:after="0" w:line="480" w:lineRule="auto"/>
        <w:ind w:left="0" w:firstLine="1440"/>
        <w:rPr>
          <w:rFonts w:ascii="Century Schoolbook" w:eastAsia="Times New Roman" w:hAnsi="Century Schoolbook" w:cs="Times New Roman"/>
          <w:color w:val="000000"/>
          <w:kern w:val="0"/>
          <w:sz w:val="28"/>
          <w:szCs w:val="28"/>
          <w14:ligatures w14:val="none"/>
        </w:rPr>
      </w:pPr>
      <w:r>
        <w:rPr>
          <w:rFonts w:ascii="Century Schoolbook" w:eastAsia="Times New Roman" w:hAnsi="Century Schoolbook" w:cs="Times New Roman"/>
          <w:color w:val="000000"/>
          <w:kern w:val="0"/>
          <w:sz w:val="28"/>
          <w:szCs w:val="28"/>
          <w14:ligatures w14:val="none"/>
        </w:rPr>
        <w:lastRenderedPageBreak/>
        <w:t xml:space="preserve">(3) </w:t>
      </w:r>
      <w:r w:rsidR="001D1FA7" w:rsidRPr="0032494E">
        <w:rPr>
          <w:rFonts w:ascii="Century Schoolbook" w:eastAsia="Times New Roman" w:hAnsi="Century Schoolbook" w:cs="Times New Roman"/>
          <w:color w:val="000000"/>
          <w:kern w:val="0"/>
          <w:sz w:val="28"/>
          <w:szCs w:val="28"/>
          <w14:ligatures w14:val="none"/>
        </w:rPr>
        <w:t>the brief complies with all applicable Nevada Rules of Appellate Procedure, including Rule 28(e); and</w:t>
      </w:r>
    </w:p>
    <w:p w14:paraId="2FB1FBF8" w14:textId="795706E3" w:rsidR="00EB3611" w:rsidRDefault="00FE4CEA" w:rsidP="0032494E">
      <w:pPr>
        <w:pStyle w:val="ListParagraph"/>
        <w:spacing w:after="0" w:line="480" w:lineRule="auto"/>
        <w:ind w:left="0" w:firstLine="1440"/>
        <w:rPr>
          <w:rFonts w:ascii="Century Schoolbook" w:eastAsia="Times New Roman" w:hAnsi="Century Schoolbook" w:cs="Times New Roman"/>
          <w:color w:val="000000"/>
          <w:kern w:val="0"/>
          <w:sz w:val="28"/>
          <w:szCs w:val="28"/>
          <w14:ligatures w14:val="none"/>
        </w:rPr>
      </w:pPr>
      <w:r>
        <w:rPr>
          <w:rFonts w:ascii="Century Schoolbook" w:eastAsia="Times New Roman" w:hAnsi="Century Schoolbook" w:cs="Times New Roman"/>
          <w:color w:val="000000"/>
          <w:kern w:val="0"/>
          <w:sz w:val="28"/>
          <w:szCs w:val="28"/>
          <w14:ligatures w14:val="none"/>
        </w:rPr>
        <w:t xml:space="preserve">(4) </w:t>
      </w:r>
      <w:r w:rsidR="001D1FA7" w:rsidRPr="0032494E">
        <w:rPr>
          <w:rFonts w:ascii="Century Schoolbook" w:eastAsia="Times New Roman" w:hAnsi="Century Schoolbook" w:cs="Times New Roman"/>
          <w:color w:val="000000"/>
          <w:kern w:val="0"/>
          <w:sz w:val="28"/>
          <w:szCs w:val="28"/>
          <w14:ligatures w14:val="none"/>
        </w:rPr>
        <w:t>the brief complies with the formatting requirements of Rule 32(a)(4)-(6),</w:t>
      </w:r>
      <w:r w:rsidR="00EB3611">
        <w:rPr>
          <w:rFonts w:ascii="Century Schoolbook" w:eastAsia="Times New Roman" w:hAnsi="Century Schoolbook" w:cs="Times New Roman"/>
          <w:color w:val="000000"/>
          <w:kern w:val="0"/>
          <w:sz w:val="28"/>
          <w:szCs w:val="28"/>
          <w14:ligatures w14:val="none"/>
        </w:rPr>
        <w:t xml:space="preserve"> identifying the typeface and </w:t>
      </w:r>
      <w:proofErr w:type="gramStart"/>
      <w:r w:rsidR="00EB3611">
        <w:rPr>
          <w:rFonts w:ascii="Century Schoolbook" w:eastAsia="Times New Roman" w:hAnsi="Century Schoolbook" w:cs="Times New Roman"/>
          <w:color w:val="000000"/>
          <w:kern w:val="0"/>
          <w:sz w:val="28"/>
          <w:szCs w:val="28"/>
          <w14:ligatures w14:val="none"/>
        </w:rPr>
        <w:t>type-style</w:t>
      </w:r>
      <w:proofErr w:type="gramEnd"/>
      <w:r w:rsidR="00EB3611">
        <w:rPr>
          <w:rFonts w:ascii="Century Schoolbook" w:eastAsia="Times New Roman" w:hAnsi="Century Schoolbook" w:cs="Times New Roman"/>
          <w:color w:val="000000"/>
          <w:kern w:val="0"/>
          <w:sz w:val="28"/>
          <w:szCs w:val="28"/>
          <w14:ligatures w14:val="none"/>
        </w:rPr>
        <w:t xml:space="preserve"> used; and</w:t>
      </w:r>
    </w:p>
    <w:p w14:paraId="0000979C" w14:textId="5824580F" w:rsidR="001D1FA7" w:rsidRDefault="00EB3611" w:rsidP="0032494E">
      <w:pPr>
        <w:pStyle w:val="ListParagraph"/>
        <w:spacing w:after="0" w:line="480" w:lineRule="auto"/>
        <w:ind w:left="0" w:firstLine="1440"/>
        <w:rPr>
          <w:rFonts w:ascii="Century Schoolbook" w:eastAsia="Times New Roman" w:hAnsi="Century Schoolbook" w:cs="Times New Roman"/>
          <w:color w:val="000000"/>
          <w:kern w:val="0"/>
          <w:sz w:val="28"/>
          <w:szCs w:val="28"/>
          <w14:ligatures w14:val="none"/>
        </w:rPr>
      </w:pPr>
      <w:r>
        <w:rPr>
          <w:rFonts w:ascii="Century Schoolbook" w:eastAsia="Times New Roman" w:hAnsi="Century Schoolbook" w:cs="Times New Roman"/>
          <w:color w:val="000000"/>
          <w:kern w:val="0"/>
          <w:sz w:val="28"/>
          <w:szCs w:val="28"/>
          <w14:ligatures w14:val="none"/>
        </w:rPr>
        <w:t>(5)</w:t>
      </w:r>
      <w:r w:rsidR="001D1FA7" w:rsidRPr="0032494E">
        <w:rPr>
          <w:rFonts w:ascii="Century Schoolbook" w:eastAsia="Times New Roman" w:hAnsi="Century Schoolbook" w:cs="Times New Roman"/>
          <w:color w:val="000000"/>
          <w:kern w:val="0"/>
          <w:sz w:val="28"/>
          <w:szCs w:val="28"/>
          <w14:ligatures w14:val="none"/>
        </w:rPr>
        <w:t xml:space="preserve"> </w:t>
      </w:r>
      <w:r>
        <w:rPr>
          <w:rFonts w:ascii="Century Schoolbook" w:eastAsia="Times New Roman" w:hAnsi="Century Schoolbook" w:cs="Times New Roman"/>
          <w:color w:val="000000"/>
          <w:kern w:val="0"/>
          <w:sz w:val="28"/>
          <w:szCs w:val="28"/>
          <w14:ligatures w14:val="none"/>
        </w:rPr>
        <w:t xml:space="preserve">the brief complies with </w:t>
      </w:r>
      <w:r w:rsidR="001D1FA7" w:rsidRPr="0032494E">
        <w:rPr>
          <w:rFonts w:ascii="Century Schoolbook" w:eastAsia="Times New Roman" w:hAnsi="Century Schoolbook" w:cs="Times New Roman"/>
          <w:color w:val="000000"/>
          <w:kern w:val="0"/>
          <w:sz w:val="28"/>
          <w:szCs w:val="28"/>
          <w14:ligatures w14:val="none"/>
        </w:rPr>
        <w:t>the page- or type-volume limitations stated in Rule 32(a)(7)</w:t>
      </w:r>
      <w:r>
        <w:rPr>
          <w:rFonts w:ascii="Century Schoolbook" w:eastAsia="Times New Roman" w:hAnsi="Century Schoolbook" w:cs="Times New Roman"/>
          <w:color w:val="000000"/>
          <w:kern w:val="0"/>
          <w:sz w:val="28"/>
          <w:szCs w:val="28"/>
          <w14:ligatures w14:val="none"/>
        </w:rPr>
        <w:t>.</w:t>
      </w:r>
      <w:r w:rsidR="00FE4CEA">
        <w:rPr>
          <w:rFonts w:ascii="Century Schoolbook" w:eastAsia="Times New Roman" w:hAnsi="Century Schoolbook" w:cs="Times New Roman"/>
          <w:color w:val="000000"/>
          <w:kern w:val="0"/>
          <w:sz w:val="28"/>
          <w:szCs w:val="28"/>
          <w14:ligatures w14:val="none"/>
        </w:rPr>
        <w:t xml:space="preserve"> </w:t>
      </w:r>
      <w:r>
        <w:rPr>
          <w:rFonts w:ascii="Century Schoolbook" w:eastAsia="Times New Roman" w:hAnsi="Century Schoolbook" w:cs="Times New Roman"/>
          <w:color w:val="000000"/>
          <w:kern w:val="0"/>
          <w:sz w:val="28"/>
          <w:szCs w:val="28"/>
          <w14:ligatures w14:val="none"/>
        </w:rPr>
        <w:t>I</w:t>
      </w:r>
      <w:r w:rsidR="00FE4CEA">
        <w:rPr>
          <w:rFonts w:ascii="Century Schoolbook" w:eastAsia="Times New Roman" w:hAnsi="Century Schoolbook" w:cs="Times New Roman"/>
          <w:color w:val="000000"/>
          <w:kern w:val="0"/>
          <w:sz w:val="28"/>
          <w:szCs w:val="28"/>
          <w14:ligatures w14:val="none"/>
        </w:rPr>
        <w:t xml:space="preserve">f relying on word or line count, </w:t>
      </w:r>
      <w:r>
        <w:rPr>
          <w:rFonts w:ascii="Century Schoolbook" w:hAnsi="Century Schoolbook"/>
          <w:color w:val="000000"/>
          <w:sz w:val="28"/>
          <w:szCs w:val="28"/>
        </w:rPr>
        <w:t>the certificate</w:t>
      </w:r>
      <w:r w:rsidR="00FE4CEA" w:rsidRPr="00EE70FE">
        <w:rPr>
          <w:rFonts w:ascii="Century Schoolbook" w:hAnsi="Century Schoolbook"/>
          <w:color w:val="000000"/>
          <w:sz w:val="28"/>
          <w:szCs w:val="28"/>
        </w:rPr>
        <w:t xml:space="preserve"> must state either the number of words or the number of lines of monospaced type in the brief</w:t>
      </w:r>
      <w:r w:rsidR="001D1FA7" w:rsidRPr="0032494E">
        <w:rPr>
          <w:rFonts w:ascii="Century Schoolbook" w:eastAsia="Times New Roman" w:hAnsi="Century Schoolbook" w:cs="Times New Roman"/>
          <w:color w:val="000000"/>
          <w:kern w:val="0"/>
          <w:sz w:val="28"/>
          <w:szCs w:val="28"/>
          <w14:ligatures w14:val="none"/>
        </w:rPr>
        <w:t>.</w:t>
      </w:r>
    </w:p>
    <w:p w14:paraId="57F85E7D" w14:textId="3F82CCD1" w:rsidR="00EB3611" w:rsidRDefault="00EB3611" w:rsidP="00EB3611">
      <w:pPr>
        <w:pStyle w:val="ListParagraph"/>
        <w:spacing w:after="0" w:line="480" w:lineRule="auto"/>
        <w:ind w:left="0" w:firstLine="720"/>
        <w:rPr>
          <w:rFonts w:ascii="Century Schoolbook" w:eastAsia="Times New Roman" w:hAnsi="Century Schoolbook" w:cs="Times New Roman"/>
          <w:color w:val="000000"/>
          <w:kern w:val="0"/>
          <w:sz w:val="28"/>
          <w:szCs w:val="28"/>
          <w14:ligatures w14:val="none"/>
        </w:rPr>
      </w:pPr>
      <w:r w:rsidRPr="00EB3611">
        <w:rPr>
          <w:rFonts w:ascii="Century Schoolbook" w:eastAsia="Times New Roman" w:hAnsi="Century Schoolbook" w:cs="Times New Roman"/>
          <w:color w:val="000000"/>
          <w:kern w:val="0"/>
          <w:sz w:val="28"/>
          <w:szCs w:val="28"/>
          <w14:ligatures w14:val="none"/>
        </w:rPr>
        <w:t>(b)</w:t>
      </w:r>
      <w:r w:rsidRPr="00EB3611">
        <w:rPr>
          <w:rFonts w:ascii="Century Schoolbook" w:eastAsia="Times New Roman" w:hAnsi="Century Schoolbook" w:cs="Times New Roman"/>
          <w:color w:val="000000"/>
          <w:kern w:val="0"/>
          <w:sz w:val="28"/>
          <w:szCs w:val="28"/>
          <w14:ligatures w14:val="none"/>
        </w:rPr>
        <w:tab/>
      </w:r>
      <w:r w:rsidRPr="0032494E">
        <w:rPr>
          <w:rFonts w:ascii="Century Schoolbook" w:eastAsia="Times New Roman" w:hAnsi="Century Schoolbook" w:cs="Times New Roman"/>
          <w:b/>
          <w:bCs/>
          <w:color w:val="000000"/>
          <w:kern w:val="0"/>
          <w:sz w:val="28"/>
          <w:szCs w:val="28"/>
          <w14:ligatures w14:val="none"/>
        </w:rPr>
        <w:t>Striking a Brief Without the Required Certificate.</w:t>
      </w:r>
      <w:r w:rsidRPr="00EB3611">
        <w:rPr>
          <w:rFonts w:ascii="Century Schoolbook" w:eastAsia="Times New Roman" w:hAnsi="Century Schoolbook" w:cs="Times New Roman"/>
          <w:color w:val="000000"/>
          <w:kern w:val="0"/>
          <w:sz w:val="28"/>
          <w:szCs w:val="28"/>
          <w14:ligatures w14:val="none"/>
        </w:rPr>
        <w:t xml:space="preserve"> If a brief does not contain the certification required by this Rule, it will be stricken unless such a certification is provided within 14 days after the omission is called to the attorney's attention.</w:t>
      </w:r>
    </w:p>
    <w:p w14:paraId="740F5923" w14:textId="561982E4" w:rsidR="00EB3611" w:rsidRPr="0032494E" w:rsidRDefault="00EB3611" w:rsidP="0032494E">
      <w:pPr>
        <w:pStyle w:val="ListParagraph"/>
        <w:spacing w:after="0" w:line="480" w:lineRule="auto"/>
        <w:ind w:left="0" w:firstLine="720"/>
        <w:rPr>
          <w:rFonts w:ascii="Century Schoolbook" w:eastAsia="Times New Roman" w:hAnsi="Century Schoolbook" w:cs="Times New Roman"/>
          <w:color w:val="000000"/>
          <w:kern w:val="0"/>
          <w:sz w:val="28"/>
          <w:szCs w:val="28"/>
          <w14:ligatures w14:val="none"/>
        </w:rPr>
      </w:pPr>
      <w:r w:rsidRPr="0032494E">
        <w:rPr>
          <w:rFonts w:ascii="Century Schoolbook" w:eastAsia="Times New Roman" w:hAnsi="Century Schoolbook" w:cs="Times New Roman"/>
          <w:color w:val="000000"/>
          <w:kern w:val="0"/>
          <w:sz w:val="28"/>
          <w:szCs w:val="28"/>
          <w14:ligatures w14:val="none"/>
        </w:rPr>
        <w:t>(c)</w:t>
      </w:r>
      <w:r w:rsidRPr="0032494E">
        <w:rPr>
          <w:rFonts w:ascii="Century Schoolbook" w:eastAsia="Times New Roman" w:hAnsi="Century Schoolbook" w:cs="Times New Roman"/>
          <w:color w:val="000000"/>
          <w:kern w:val="0"/>
          <w:sz w:val="28"/>
          <w:szCs w:val="28"/>
          <w14:ligatures w14:val="none"/>
        </w:rPr>
        <w:tab/>
      </w:r>
      <w:r w:rsidRPr="0032494E">
        <w:rPr>
          <w:rFonts w:ascii="Century Schoolbook" w:eastAsia="Times New Roman" w:hAnsi="Century Schoolbook" w:cs="Times New Roman"/>
          <w:b/>
          <w:bCs/>
          <w:color w:val="000000"/>
          <w:kern w:val="0"/>
          <w:sz w:val="28"/>
          <w:szCs w:val="28"/>
          <w14:ligatures w14:val="none"/>
        </w:rPr>
        <w:t>Sanctions.</w:t>
      </w:r>
      <w:r w:rsidRPr="0032494E">
        <w:rPr>
          <w:rFonts w:ascii="Century Schoolbook" w:eastAsia="Times New Roman" w:hAnsi="Century Schoolbook" w:cs="Times New Roman"/>
          <w:color w:val="000000"/>
          <w:kern w:val="0"/>
          <w:sz w:val="28"/>
          <w:szCs w:val="28"/>
          <w14:ligatures w14:val="none"/>
        </w:rPr>
        <w:t xml:space="preserve"> The </w:t>
      </w:r>
      <w:r>
        <w:rPr>
          <w:rFonts w:ascii="Century Schoolbook" w:eastAsia="Times New Roman" w:hAnsi="Century Schoolbook" w:cs="Times New Roman"/>
          <w:color w:val="000000"/>
          <w:kern w:val="0"/>
          <w:sz w:val="28"/>
          <w:szCs w:val="28"/>
          <w14:ligatures w14:val="none"/>
        </w:rPr>
        <w:t>Court</w:t>
      </w:r>
      <w:r w:rsidRPr="0032494E">
        <w:rPr>
          <w:rFonts w:ascii="Century Schoolbook" w:eastAsia="Times New Roman" w:hAnsi="Century Schoolbook" w:cs="Times New Roman"/>
          <w:color w:val="000000"/>
          <w:kern w:val="0"/>
          <w:sz w:val="28"/>
          <w:szCs w:val="28"/>
          <w14:ligatures w14:val="none"/>
        </w:rPr>
        <w:t xml:space="preserve"> may impose sanctions </w:t>
      </w:r>
      <w:r>
        <w:rPr>
          <w:rFonts w:ascii="Century Schoolbook" w:eastAsia="Times New Roman" w:hAnsi="Century Schoolbook" w:cs="Times New Roman"/>
          <w:color w:val="000000"/>
          <w:kern w:val="0"/>
          <w:sz w:val="28"/>
          <w:szCs w:val="28"/>
          <w14:ligatures w14:val="none"/>
        </w:rPr>
        <w:t>for an incomplete or inaccurate</w:t>
      </w:r>
      <w:r w:rsidRPr="0032494E">
        <w:rPr>
          <w:rFonts w:ascii="Century Schoolbook" w:eastAsia="Times New Roman" w:hAnsi="Century Schoolbook" w:cs="Times New Roman"/>
          <w:color w:val="000000"/>
          <w:kern w:val="0"/>
          <w:sz w:val="28"/>
          <w:szCs w:val="28"/>
          <w14:ligatures w14:val="none"/>
        </w:rPr>
        <w:t xml:space="preserve"> certificat</w:t>
      </w:r>
      <w:r>
        <w:rPr>
          <w:rFonts w:ascii="Century Schoolbook" w:eastAsia="Times New Roman" w:hAnsi="Century Schoolbook" w:cs="Times New Roman"/>
          <w:color w:val="000000"/>
          <w:kern w:val="0"/>
          <w:sz w:val="28"/>
          <w:szCs w:val="28"/>
          <w14:ligatures w14:val="none"/>
        </w:rPr>
        <w:t>e</w:t>
      </w:r>
      <w:r w:rsidRPr="0032494E">
        <w:rPr>
          <w:rFonts w:ascii="Century Schoolbook" w:eastAsia="Times New Roman" w:hAnsi="Century Schoolbook" w:cs="Times New Roman"/>
          <w:color w:val="000000"/>
          <w:kern w:val="0"/>
          <w:sz w:val="28"/>
          <w:szCs w:val="28"/>
          <w14:ligatures w14:val="none"/>
        </w:rPr>
        <w:t>.</w:t>
      </w:r>
    </w:p>
    <w:p w14:paraId="1D3875E2"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(b)</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Form of Appendices.</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An appendix must comply with Rule 32(a)(1), (2), (3), and (4) with the following exceptions:</w:t>
      </w:r>
    </w:p>
    <w:p w14:paraId="4F8AA676" w14:textId="6D2E8C3F"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xml:space="preserve">      </w:t>
      </w:r>
    </w:p>
    <w:p w14:paraId="2AD36D28" w14:textId="2DC74765"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t>      (</w:t>
      </w:r>
      <w:r w:rsidR="00D339FF">
        <w:rPr>
          <w:rFonts w:ascii="Century Schoolbook" w:hAnsi="Century Schoolbook"/>
          <w:color w:val="000000"/>
          <w:sz w:val="28"/>
          <w:szCs w:val="28"/>
        </w:rPr>
        <w:t>1</w:t>
      </w:r>
      <w:r w:rsidRPr="00EE70FE">
        <w:rPr>
          <w:rFonts w:ascii="Century Schoolbook" w:hAnsi="Century Schoolbook"/>
          <w:color w:val="000000"/>
          <w:sz w:val="28"/>
          <w:szCs w:val="28"/>
        </w:rPr>
        <w:t>)</w:t>
      </w:r>
      <w:r w:rsidRPr="00EE70FE">
        <w:rPr>
          <w:rFonts w:ascii="Century Schoolbook" w:hAnsi="Century Schoolbook"/>
          <w:color w:val="000000"/>
          <w:sz w:val="28"/>
          <w:szCs w:val="28"/>
        </w:rPr>
        <w:t> </w:t>
      </w:r>
      <w:r w:rsidRPr="00EE70FE">
        <w:rPr>
          <w:rFonts w:ascii="Century Schoolbook" w:hAnsi="Century Schoolbook"/>
          <w:color w:val="000000"/>
          <w:sz w:val="28"/>
          <w:szCs w:val="28"/>
        </w:rPr>
        <w:t>An appendix may include a legible photocopy of any document found in the trial court record (see Rule 30).</w:t>
      </w:r>
    </w:p>
    <w:p w14:paraId="44BCDADE" w14:textId="510AC6EE"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color w:val="000000"/>
          <w:sz w:val="28"/>
          <w:szCs w:val="28"/>
        </w:rPr>
        <w:lastRenderedPageBreak/>
        <w:t>      (</w:t>
      </w:r>
      <w:r w:rsidR="00D339FF">
        <w:rPr>
          <w:rFonts w:ascii="Century Schoolbook" w:hAnsi="Century Schoolbook"/>
          <w:color w:val="000000"/>
          <w:sz w:val="28"/>
          <w:szCs w:val="28"/>
        </w:rPr>
        <w:t>2</w:t>
      </w:r>
      <w:r w:rsidRPr="00EE70FE">
        <w:rPr>
          <w:rFonts w:ascii="Century Schoolbook" w:hAnsi="Century Schoolbook"/>
          <w:color w:val="000000"/>
          <w:sz w:val="28"/>
          <w:szCs w:val="28"/>
        </w:rPr>
        <w:t>)</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When necessary to facilitate inclusion of odd-sized documents such as technical drawings, an appendix may be a size other than 8 1/2 by 11 </w:t>
      </w:r>
      <w:proofErr w:type="gramStart"/>
      <w:r w:rsidRPr="00EE70FE">
        <w:rPr>
          <w:rFonts w:ascii="Century Schoolbook" w:hAnsi="Century Schoolbook"/>
          <w:color w:val="000000"/>
          <w:sz w:val="28"/>
          <w:szCs w:val="28"/>
        </w:rPr>
        <w:t>inches, and</w:t>
      </w:r>
      <w:proofErr w:type="gramEnd"/>
      <w:r w:rsidRPr="00EE70FE">
        <w:rPr>
          <w:rFonts w:ascii="Century Schoolbook" w:hAnsi="Century Schoolbook"/>
          <w:color w:val="000000"/>
          <w:sz w:val="28"/>
          <w:szCs w:val="28"/>
        </w:rPr>
        <w:t xml:space="preserve"> need not lie reasonably flat when opened.</w:t>
      </w:r>
    </w:p>
    <w:p w14:paraId="6050E8C7"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(c)</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Form of Other Papers.</w:t>
      </w:r>
    </w:p>
    <w:p w14:paraId="429DA5E0" w14:textId="77777777"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(1)</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Motion.</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The form of a motion is governed by Rule 27(d).</w:t>
      </w:r>
    </w:p>
    <w:p w14:paraId="2BB04D0A" w14:textId="11FADFA3"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(2)</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Other Papers.</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Any other paper, including a petition for rehearing and a petition for en banc reconsideration, and any response to such a petition, </w:t>
      </w:r>
      <w:r w:rsidR="00B53C63">
        <w:rPr>
          <w:rFonts w:ascii="Century Schoolbook" w:hAnsi="Century Schoolbook"/>
          <w:color w:val="000000"/>
          <w:sz w:val="28"/>
          <w:szCs w:val="28"/>
        </w:rPr>
        <w:t xml:space="preserve"> must</w:t>
      </w:r>
      <w:r w:rsidRPr="00EE70FE">
        <w:rPr>
          <w:rFonts w:ascii="Century Schoolbook" w:hAnsi="Century Schoolbook"/>
          <w:color w:val="000000"/>
          <w:sz w:val="28"/>
          <w:szCs w:val="28"/>
        </w:rPr>
        <w:t xml:space="preserve"> be reproduced in the manner prescribed by Rule 32(a)(1), (3), (4), (5), (6), and (8) and </w:t>
      </w:r>
      <w:r w:rsidR="00B53C63">
        <w:rPr>
          <w:rFonts w:ascii="Century Schoolbook" w:hAnsi="Century Schoolbook"/>
          <w:color w:val="000000"/>
          <w:sz w:val="28"/>
          <w:szCs w:val="28"/>
        </w:rPr>
        <w:t xml:space="preserve"> must</w:t>
      </w:r>
      <w:r w:rsidRPr="00EE70FE">
        <w:rPr>
          <w:rFonts w:ascii="Century Schoolbook" w:hAnsi="Century Schoolbook"/>
          <w:color w:val="000000"/>
          <w:sz w:val="28"/>
          <w:szCs w:val="28"/>
        </w:rPr>
        <w:t xml:space="preserve"> contain a caption setting forth the name of the court, the title of the case, the case number, and a brief descriptive title indicating the purpose of the paper. </w:t>
      </w:r>
    </w:p>
    <w:p w14:paraId="78F36795" w14:textId="321C8229" w:rsidR="00EE70FE" w:rsidRPr="00EE70FE"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(d)</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Signature.</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Pr="00EE70FE">
        <w:rPr>
          <w:rFonts w:ascii="Century Schoolbook" w:hAnsi="Century Schoolbook"/>
          <w:color w:val="000000"/>
          <w:sz w:val="28"/>
          <w:szCs w:val="28"/>
        </w:rPr>
        <w:t xml:space="preserve">Every brief, motion, or other paper filed with the court must be signed </w:t>
      </w:r>
      <w:r w:rsidR="00007CE3">
        <w:rPr>
          <w:rFonts w:ascii="Century Schoolbook" w:hAnsi="Century Schoolbook"/>
          <w:color w:val="000000"/>
          <w:sz w:val="28"/>
          <w:szCs w:val="28"/>
        </w:rPr>
        <w:t xml:space="preserve">as set forth in </w:t>
      </w:r>
      <w:r w:rsidR="0056525B">
        <w:rPr>
          <w:rFonts w:ascii="Century Schoolbook" w:hAnsi="Century Schoolbook"/>
          <w:color w:val="000000"/>
          <w:sz w:val="28"/>
          <w:szCs w:val="28"/>
        </w:rPr>
        <w:t>Rule</w:t>
      </w:r>
      <w:r w:rsidR="00007CE3">
        <w:rPr>
          <w:rFonts w:ascii="Century Schoolbook" w:hAnsi="Century Schoolbook"/>
          <w:color w:val="000000"/>
          <w:sz w:val="28"/>
          <w:szCs w:val="28"/>
        </w:rPr>
        <w:t xml:space="preserve"> 25(a)(5)</w:t>
      </w:r>
      <w:r w:rsidRPr="00EE70FE">
        <w:rPr>
          <w:rFonts w:ascii="Century Schoolbook" w:hAnsi="Century Schoolbook"/>
          <w:color w:val="000000"/>
          <w:sz w:val="28"/>
          <w:szCs w:val="28"/>
        </w:rPr>
        <w:t>.</w:t>
      </w:r>
    </w:p>
    <w:p w14:paraId="1B782B5A" w14:textId="409F1952" w:rsidR="00BD0BAC" w:rsidRDefault="00EE70FE" w:rsidP="00B53C63">
      <w:pPr>
        <w:pStyle w:val="sectbody"/>
        <w:spacing w:before="0" w:beforeAutospacing="0" w:after="0" w:afterAutospacing="0" w:line="480" w:lineRule="auto"/>
        <w:rPr>
          <w:rFonts w:ascii="Century Schoolbook" w:hAnsi="Century Schoolbook"/>
          <w:color w:val="000000"/>
          <w:sz w:val="28"/>
          <w:szCs w:val="28"/>
        </w:rPr>
      </w:pPr>
      <w:r w:rsidRPr="00EE70FE">
        <w:rPr>
          <w:rFonts w:ascii="Century Schoolbook" w:hAnsi="Century Schoolbook"/>
          <w:b/>
          <w:bCs/>
          <w:color w:val="000000"/>
          <w:sz w:val="28"/>
          <w:szCs w:val="28"/>
        </w:rPr>
        <w:t>      (e)</w:t>
      </w:r>
      <w:r w:rsidRPr="00EE70FE">
        <w:rPr>
          <w:rFonts w:ascii="Century Schoolbook" w:hAnsi="Century Schoolbook"/>
          <w:b/>
          <w:bCs/>
          <w:color w:val="000000"/>
          <w:sz w:val="28"/>
          <w:szCs w:val="28"/>
        </w:rPr>
        <w:t> </w:t>
      </w:r>
      <w:r w:rsidRPr="00EE70FE">
        <w:rPr>
          <w:rFonts w:ascii="Century Schoolbook" w:hAnsi="Century Schoolbook"/>
          <w:b/>
          <w:bCs/>
          <w:color w:val="000000"/>
          <w:sz w:val="28"/>
          <w:szCs w:val="28"/>
        </w:rPr>
        <w:t xml:space="preserve">Effect of Noncompliance </w:t>
      </w:r>
      <w:proofErr w:type="gramStart"/>
      <w:r w:rsidRPr="00EE70FE">
        <w:rPr>
          <w:rFonts w:ascii="Century Schoolbook" w:hAnsi="Century Schoolbook"/>
          <w:b/>
          <w:bCs/>
          <w:color w:val="000000"/>
          <w:sz w:val="28"/>
          <w:szCs w:val="28"/>
        </w:rPr>
        <w:t>With</w:t>
      </w:r>
      <w:proofErr w:type="gramEnd"/>
      <w:r w:rsidRPr="00EE70FE">
        <w:rPr>
          <w:rFonts w:ascii="Century Schoolbook" w:hAnsi="Century Schoolbook"/>
          <w:b/>
          <w:bCs/>
          <w:color w:val="000000"/>
          <w:sz w:val="28"/>
          <w:szCs w:val="28"/>
        </w:rPr>
        <w:t xml:space="preserve"> Rule.</w:t>
      </w:r>
      <w:r w:rsidRPr="00EE70FE">
        <w:rPr>
          <w:rFonts w:ascii="Century Schoolbook" w:hAnsi="Century Schoolbook"/>
          <w:color w:val="000000"/>
          <w:sz w:val="28"/>
          <w:szCs w:val="28"/>
        </w:rPr>
        <w:t> </w:t>
      </w:r>
      <w:r w:rsidRPr="00EE70FE">
        <w:rPr>
          <w:rFonts w:ascii="Century Schoolbook" w:hAnsi="Century Schoolbook"/>
          <w:color w:val="000000"/>
          <w:sz w:val="28"/>
          <w:szCs w:val="28"/>
        </w:rPr>
        <w:t> </w:t>
      </w:r>
      <w:r w:rsidR="00007CE3">
        <w:rPr>
          <w:rFonts w:ascii="Century Schoolbook" w:hAnsi="Century Schoolbook"/>
          <w:color w:val="000000"/>
          <w:sz w:val="28"/>
          <w:szCs w:val="28"/>
        </w:rPr>
        <w:t>A</w:t>
      </w:r>
      <w:r w:rsidRPr="00EE70FE">
        <w:rPr>
          <w:rFonts w:ascii="Century Schoolbook" w:hAnsi="Century Schoolbook"/>
          <w:color w:val="000000"/>
          <w:sz w:val="28"/>
          <w:szCs w:val="28"/>
        </w:rPr>
        <w:t xml:space="preserve"> brief, petition, motion or other paper </w:t>
      </w:r>
      <w:r w:rsidR="001E6836">
        <w:rPr>
          <w:rFonts w:ascii="Century Schoolbook" w:hAnsi="Century Schoolbook"/>
          <w:color w:val="000000"/>
          <w:sz w:val="28"/>
          <w:szCs w:val="28"/>
        </w:rPr>
        <w:t xml:space="preserve">that </w:t>
      </w:r>
      <w:r w:rsidRPr="00EE70FE">
        <w:rPr>
          <w:rFonts w:ascii="Century Schoolbook" w:hAnsi="Century Schoolbook"/>
          <w:color w:val="000000"/>
          <w:sz w:val="28"/>
          <w:szCs w:val="28"/>
        </w:rPr>
        <w:t>is not prepared in accordance with this Rule</w:t>
      </w:r>
      <w:r w:rsidR="00007CE3">
        <w:rPr>
          <w:rFonts w:ascii="Century Schoolbook" w:hAnsi="Century Schoolbook"/>
          <w:color w:val="000000"/>
          <w:sz w:val="28"/>
          <w:szCs w:val="28"/>
        </w:rPr>
        <w:t xml:space="preserve"> may be stricken or disregarded by the court</w:t>
      </w:r>
      <w:r w:rsidRPr="00EE70FE">
        <w:rPr>
          <w:rFonts w:ascii="Century Schoolbook" w:hAnsi="Century Schoolbook"/>
          <w:color w:val="000000"/>
          <w:sz w:val="28"/>
          <w:szCs w:val="28"/>
        </w:rPr>
        <w:t>.</w:t>
      </w:r>
    </w:p>
    <w:p w14:paraId="2E6A867B" w14:textId="77777777" w:rsidR="001A4F89" w:rsidRDefault="001A4F89" w:rsidP="00B53C63">
      <w:pPr>
        <w:pStyle w:val="sectbody"/>
        <w:spacing w:before="0" w:beforeAutospacing="0" w:after="0" w:afterAutospacing="0" w:line="480" w:lineRule="auto"/>
        <w:rPr>
          <w:rFonts w:ascii="Century Schoolbook" w:hAnsi="Century Schoolbook"/>
          <w:color w:val="000000"/>
          <w:sz w:val="28"/>
          <w:szCs w:val="28"/>
        </w:rPr>
      </w:pPr>
    </w:p>
    <w:p w14:paraId="6E9ED2F6" w14:textId="2F57A0A1" w:rsidR="001A4F89" w:rsidRDefault="001A4F89" w:rsidP="001A4F89">
      <w:pPr>
        <w:pStyle w:val="sectbody"/>
        <w:spacing w:before="0" w:beforeAutospacing="0" w:after="0" w:afterAutospacing="0"/>
        <w:rPr>
          <w:rFonts w:ascii="Century Schoolbook" w:hAnsi="Century Schoolbook"/>
          <w:color w:val="000000"/>
          <w:sz w:val="28"/>
          <w:szCs w:val="28"/>
        </w:rPr>
      </w:pPr>
      <w:r w:rsidRPr="0032494E">
        <w:rPr>
          <w:rFonts w:ascii="Century Schoolbook" w:hAnsi="Century Schoolbook"/>
          <w:b/>
          <w:bCs/>
          <w:color w:val="000000"/>
          <w:sz w:val="28"/>
          <w:szCs w:val="28"/>
        </w:rPr>
        <w:t>Comment</w:t>
      </w:r>
      <w:r>
        <w:rPr>
          <w:rFonts w:ascii="Century Schoolbook" w:hAnsi="Century Schoolbook"/>
          <w:b/>
          <w:bCs/>
          <w:color w:val="000000"/>
          <w:sz w:val="28"/>
          <w:szCs w:val="28"/>
        </w:rPr>
        <w:t xml:space="preserve">: </w:t>
      </w:r>
      <w:r>
        <w:rPr>
          <w:rFonts w:ascii="Century Schoolbook" w:hAnsi="Century Schoolbook"/>
          <w:color w:val="000000"/>
          <w:sz w:val="28"/>
          <w:szCs w:val="28"/>
        </w:rPr>
        <w:t>Rule 32 is amended to conform to FRAP 32 and to address the attorney’s certificate in former Rule 28.2.</w:t>
      </w:r>
    </w:p>
    <w:p w14:paraId="069B8767" w14:textId="6A70370A" w:rsidR="001A4F89" w:rsidRDefault="001A4F89" w:rsidP="001A4F89">
      <w:pPr>
        <w:pStyle w:val="sectbody"/>
        <w:spacing w:before="0" w:beforeAutospacing="0" w:after="0" w:afterAutospacing="0"/>
        <w:rPr>
          <w:rFonts w:ascii="Century Schoolbook" w:hAnsi="Century Schoolbook"/>
          <w:color w:val="000000"/>
          <w:sz w:val="28"/>
          <w:szCs w:val="28"/>
        </w:rPr>
      </w:pPr>
      <w:r>
        <w:rPr>
          <w:rFonts w:ascii="Century Schoolbook" w:hAnsi="Century Schoolbook"/>
          <w:color w:val="000000"/>
          <w:sz w:val="28"/>
          <w:szCs w:val="28"/>
        </w:rPr>
        <w:lastRenderedPageBreak/>
        <w:tab/>
        <w:t>Subsection (a)(2) eliminates the requirement for colored covers. When formatting the cover, practitioners should consider the placement of the court’s file electronic stamp in the upper right-hand corner about 2 inches below and 3 inches to the left of the edge. The court name, case number, and case title should be formatted so as not to obscure the file stamp.</w:t>
      </w:r>
    </w:p>
    <w:p w14:paraId="28AE46A3" w14:textId="6E1AB177" w:rsidR="001A4F89" w:rsidRDefault="001A4F89" w:rsidP="001A4F89">
      <w:pPr>
        <w:pStyle w:val="sectbody"/>
        <w:spacing w:before="0" w:beforeAutospacing="0" w:after="0" w:afterAutospacing="0"/>
        <w:rPr>
          <w:rFonts w:ascii="Century Schoolbook" w:hAnsi="Century Schoolbook"/>
          <w:color w:val="000000"/>
          <w:sz w:val="28"/>
          <w:szCs w:val="28"/>
        </w:rPr>
      </w:pPr>
      <w:r>
        <w:rPr>
          <w:rFonts w:ascii="Century Schoolbook" w:hAnsi="Century Schoolbook"/>
          <w:color w:val="000000"/>
          <w:sz w:val="28"/>
          <w:szCs w:val="28"/>
        </w:rPr>
        <w:tab/>
        <w:t xml:space="preserve">The certificate of compliance in subsection (a)(9) now includes the information in former Rule 28.2 (attorney’s certificate) and </w:t>
      </w:r>
      <w:r w:rsidR="004D3946">
        <w:rPr>
          <w:rFonts w:ascii="Century Schoolbook" w:hAnsi="Century Schoolbook"/>
          <w:color w:val="000000"/>
          <w:sz w:val="28"/>
          <w:szCs w:val="28"/>
        </w:rPr>
        <w:t>is required for all briefs, not just those submitted by represented parties.</w:t>
      </w:r>
    </w:p>
    <w:p w14:paraId="2FEFD96C" w14:textId="195F8AEF" w:rsidR="004D3946" w:rsidRPr="001A4F89" w:rsidRDefault="004D3946" w:rsidP="0032494E">
      <w:pPr>
        <w:pStyle w:val="sectbody"/>
        <w:spacing w:before="0" w:beforeAutospacing="0" w:after="0" w:afterAutospacing="0"/>
        <w:rPr>
          <w:rFonts w:ascii="Century Schoolbook" w:hAnsi="Century Schoolbook"/>
          <w:sz w:val="28"/>
          <w:szCs w:val="28"/>
        </w:rPr>
      </w:pPr>
      <w:r>
        <w:rPr>
          <w:rFonts w:ascii="Century Schoolbook" w:hAnsi="Century Schoolbook"/>
          <w:color w:val="000000"/>
          <w:sz w:val="28"/>
          <w:szCs w:val="28"/>
        </w:rPr>
        <w:tab/>
        <w:t>In conformance with Rule 25, subsection (e) now provides that a noncompliant brief or other paper may be stricken or disregarded by the court, but not by the clerk without the court’s instruction.</w:t>
      </w:r>
    </w:p>
    <w:sectPr w:rsidR="004D3946" w:rsidRPr="001A4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7B38" w14:textId="77777777" w:rsidR="00556DC3" w:rsidRDefault="00556DC3" w:rsidP="00F47B2D">
      <w:pPr>
        <w:spacing w:after="0" w:line="240" w:lineRule="auto"/>
      </w:pPr>
      <w:r>
        <w:separator/>
      </w:r>
    </w:p>
  </w:endnote>
  <w:endnote w:type="continuationSeparator" w:id="0">
    <w:p w14:paraId="3112649F" w14:textId="77777777" w:rsidR="00556DC3" w:rsidRDefault="00556DC3" w:rsidP="00F4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EDAD" w14:textId="77777777" w:rsidR="00556DC3" w:rsidRDefault="00556DC3" w:rsidP="00F47B2D">
      <w:pPr>
        <w:spacing w:after="0" w:line="240" w:lineRule="auto"/>
      </w:pPr>
      <w:r>
        <w:separator/>
      </w:r>
    </w:p>
  </w:footnote>
  <w:footnote w:type="continuationSeparator" w:id="0">
    <w:p w14:paraId="779EF121" w14:textId="77777777" w:rsidR="00556DC3" w:rsidRDefault="00556DC3" w:rsidP="00F47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61A"/>
    <w:multiLevelType w:val="hybridMultilevel"/>
    <w:tmpl w:val="B1045E00"/>
    <w:lvl w:ilvl="0" w:tplc="045EEC6C">
      <w:start w:val="1"/>
      <w:numFmt w:val="lowerLetter"/>
      <w:lvlText w:val="(%1)"/>
      <w:lvlJc w:val="left"/>
      <w:pPr>
        <w:ind w:left="720" w:hanging="360"/>
      </w:pPr>
      <w:rPr>
        <w:rFonts w:hint="default"/>
        <w:b/>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4191"/>
    <w:multiLevelType w:val="hybridMultilevel"/>
    <w:tmpl w:val="BD8E747A"/>
    <w:lvl w:ilvl="0" w:tplc="CEECA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956221">
    <w:abstractNumId w:val="0"/>
  </w:num>
  <w:num w:numId="2" w16cid:durableId="196819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FE"/>
    <w:rsid w:val="00003431"/>
    <w:rsid w:val="00004ABA"/>
    <w:rsid w:val="00007CE3"/>
    <w:rsid w:val="000936B8"/>
    <w:rsid w:val="00192BB4"/>
    <w:rsid w:val="001A4F89"/>
    <w:rsid w:val="001D1FA7"/>
    <w:rsid w:val="001E6836"/>
    <w:rsid w:val="00202D9F"/>
    <w:rsid w:val="002A2F41"/>
    <w:rsid w:val="002D5DC0"/>
    <w:rsid w:val="00315632"/>
    <w:rsid w:val="00324422"/>
    <w:rsid w:val="0032494E"/>
    <w:rsid w:val="00386483"/>
    <w:rsid w:val="0042036B"/>
    <w:rsid w:val="004656FD"/>
    <w:rsid w:val="004D3946"/>
    <w:rsid w:val="005417B1"/>
    <w:rsid w:val="00556DC3"/>
    <w:rsid w:val="0056525B"/>
    <w:rsid w:val="005E5E63"/>
    <w:rsid w:val="00744844"/>
    <w:rsid w:val="00754D9A"/>
    <w:rsid w:val="007B23CE"/>
    <w:rsid w:val="007E1DD8"/>
    <w:rsid w:val="0080128F"/>
    <w:rsid w:val="008072C6"/>
    <w:rsid w:val="009127FF"/>
    <w:rsid w:val="00926493"/>
    <w:rsid w:val="00981418"/>
    <w:rsid w:val="00984491"/>
    <w:rsid w:val="009C76F5"/>
    <w:rsid w:val="00A42F01"/>
    <w:rsid w:val="00B53C63"/>
    <w:rsid w:val="00B71167"/>
    <w:rsid w:val="00BD0BAC"/>
    <w:rsid w:val="00C96D23"/>
    <w:rsid w:val="00CA3552"/>
    <w:rsid w:val="00CC5E5D"/>
    <w:rsid w:val="00D17B1F"/>
    <w:rsid w:val="00D339FF"/>
    <w:rsid w:val="00E03A65"/>
    <w:rsid w:val="00E06998"/>
    <w:rsid w:val="00E25A8A"/>
    <w:rsid w:val="00E47657"/>
    <w:rsid w:val="00E84EAC"/>
    <w:rsid w:val="00EB3611"/>
    <w:rsid w:val="00EE70FE"/>
    <w:rsid w:val="00EF71A1"/>
    <w:rsid w:val="00F03464"/>
    <w:rsid w:val="00F341F3"/>
    <w:rsid w:val="00F47B2D"/>
    <w:rsid w:val="00F83050"/>
    <w:rsid w:val="00FE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49D5"/>
  <w15:chartTrackingRefBased/>
  <w15:docId w15:val="{42C66BD5-B8C0-4D61-9513-B0C91B87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EE70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EE70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B53C63"/>
    <w:pPr>
      <w:spacing w:after="0" w:line="240" w:lineRule="auto"/>
    </w:pPr>
  </w:style>
  <w:style w:type="character" w:styleId="CommentReference">
    <w:name w:val="annotation reference"/>
    <w:basedOn w:val="DefaultParagraphFont"/>
    <w:uiPriority w:val="99"/>
    <w:semiHidden/>
    <w:unhideWhenUsed/>
    <w:rsid w:val="00003431"/>
    <w:rPr>
      <w:sz w:val="16"/>
      <w:szCs w:val="16"/>
    </w:rPr>
  </w:style>
  <w:style w:type="paragraph" w:styleId="CommentText">
    <w:name w:val="annotation text"/>
    <w:basedOn w:val="Normal"/>
    <w:link w:val="CommentTextChar"/>
    <w:uiPriority w:val="99"/>
    <w:unhideWhenUsed/>
    <w:rsid w:val="00003431"/>
    <w:pPr>
      <w:spacing w:line="240" w:lineRule="auto"/>
    </w:pPr>
    <w:rPr>
      <w:sz w:val="20"/>
      <w:szCs w:val="20"/>
    </w:rPr>
  </w:style>
  <w:style w:type="character" w:customStyle="1" w:styleId="CommentTextChar">
    <w:name w:val="Comment Text Char"/>
    <w:basedOn w:val="DefaultParagraphFont"/>
    <w:link w:val="CommentText"/>
    <w:uiPriority w:val="99"/>
    <w:rsid w:val="00003431"/>
    <w:rPr>
      <w:sz w:val="20"/>
      <w:szCs w:val="20"/>
    </w:rPr>
  </w:style>
  <w:style w:type="paragraph" w:styleId="CommentSubject">
    <w:name w:val="annotation subject"/>
    <w:basedOn w:val="CommentText"/>
    <w:next w:val="CommentText"/>
    <w:link w:val="CommentSubjectChar"/>
    <w:uiPriority w:val="99"/>
    <w:semiHidden/>
    <w:unhideWhenUsed/>
    <w:rsid w:val="00003431"/>
    <w:rPr>
      <w:b/>
      <w:bCs/>
    </w:rPr>
  </w:style>
  <w:style w:type="character" w:customStyle="1" w:styleId="CommentSubjectChar">
    <w:name w:val="Comment Subject Char"/>
    <w:basedOn w:val="CommentTextChar"/>
    <w:link w:val="CommentSubject"/>
    <w:uiPriority w:val="99"/>
    <w:semiHidden/>
    <w:rsid w:val="00003431"/>
    <w:rPr>
      <w:b/>
      <w:bCs/>
      <w:sz w:val="20"/>
      <w:szCs w:val="20"/>
    </w:rPr>
  </w:style>
  <w:style w:type="paragraph" w:styleId="Header">
    <w:name w:val="header"/>
    <w:basedOn w:val="Normal"/>
    <w:link w:val="HeaderChar"/>
    <w:uiPriority w:val="99"/>
    <w:unhideWhenUsed/>
    <w:rsid w:val="00F4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2D"/>
  </w:style>
  <w:style w:type="paragraph" w:styleId="Footer">
    <w:name w:val="footer"/>
    <w:basedOn w:val="Normal"/>
    <w:link w:val="FooterChar"/>
    <w:uiPriority w:val="99"/>
    <w:unhideWhenUsed/>
    <w:rsid w:val="00F4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2D"/>
  </w:style>
  <w:style w:type="paragraph" w:styleId="ListParagraph">
    <w:name w:val="List Paragraph"/>
    <w:basedOn w:val="Normal"/>
    <w:uiPriority w:val="34"/>
    <w:qFormat/>
    <w:rsid w:val="001D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655C-F77E-487F-8AE4-6BD40F7F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1534</Words>
  <Characters>7933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3</cp:revision>
  <dcterms:created xsi:type="dcterms:W3CDTF">2023-10-19T00:34:00Z</dcterms:created>
  <dcterms:modified xsi:type="dcterms:W3CDTF">2023-10-19T00:34:00Z</dcterms:modified>
</cp:coreProperties>
</file>