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4E69" w14:textId="77777777" w:rsidR="00980541" w:rsidRPr="00980541" w:rsidRDefault="00980541" w:rsidP="00980541">
      <w:pPr>
        <w:pStyle w:val="rulehead2"/>
        <w:spacing w:before="200" w:beforeAutospacing="0" w:after="200" w:afterAutospacing="0" w:line="480" w:lineRule="auto"/>
        <w:jc w:val="center"/>
        <w:rPr>
          <w:rFonts w:ascii="Century Schoolbook" w:hAnsi="Century Schoolbook"/>
          <w:b/>
          <w:bCs/>
          <w:color w:val="000000"/>
          <w:sz w:val="28"/>
          <w:szCs w:val="28"/>
        </w:rPr>
      </w:pPr>
      <w:r w:rsidRPr="00980541">
        <w:rPr>
          <w:rFonts w:ascii="Century Schoolbook" w:hAnsi="Century Schoolbook"/>
          <w:b/>
          <w:bCs/>
          <w:color w:val="000000"/>
          <w:sz w:val="28"/>
          <w:szCs w:val="28"/>
        </w:rPr>
        <w:t>RULE</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28.1.</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CROSS-APPEALS</w:t>
      </w:r>
    </w:p>
    <w:p w14:paraId="77AC0D79"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(a)</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Applicability.</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This Rule applies to a case in which a cross-appeal is filed. Rules 28(a)-(c), 31(a), 32(a)(2), and 32(a)(7)(A)-(B) do not apply to such a case, except as otherwise provided in this Rule.</w:t>
      </w:r>
    </w:p>
    <w:p w14:paraId="4300C6EF"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(b)</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Designation of Appellant.</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party who files a notice of appeal first is the appellant for all purposes. If the notices are filed on the same day, the plaintiff in the proceeding below is the appellant. These designations may be modified by the parties’ agreement or by court order.</w:t>
      </w:r>
    </w:p>
    <w:p w14:paraId="1E40D344"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(c)</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Briefs.</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In a case involving a cross-appeal:</w:t>
      </w:r>
    </w:p>
    <w:p w14:paraId="65223044" w14:textId="26A2821D"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(1)</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Appellant’s Opening Brief on 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appellant </w:t>
      </w:r>
      <w:r w:rsidR="005039F4">
        <w:rPr>
          <w:rFonts w:ascii="Century Schoolbook" w:hAnsi="Century Schoolbook"/>
          <w:color w:val="000000"/>
          <w:sz w:val="28"/>
          <w:szCs w:val="28"/>
        </w:rPr>
        <w:t>must</w:t>
      </w:r>
      <w:r w:rsidR="005039F4" w:rsidRPr="00980541">
        <w:rPr>
          <w:rFonts w:ascii="Century Schoolbook" w:hAnsi="Century Schoolbook"/>
          <w:color w:val="000000"/>
          <w:sz w:val="28"/>
          <w:szCs w:val="28"/>
        </w:rPr>
        <w:t xml:space="preserve"> </w:t>
      </w:r>
      <w:r w:rsidRPr="00980541">
        <w:rPr>
          <w:rFonts w:ascii="Century Schoolbook" w:hAnsi="Century Schoolbook"/>
          <w:color w:val="000000"/>
          <w:sz w:val="28"/>
          <w:szCs w:val="28"/>
        </w:rPr>
        <w:t>file an opening brief in the appeal. That brief must comply with Rule 28(a).</w:t>
      </w:r>
    </w:p>
    <w:p w14:paraId="542CCDB1" w14:textId="4366590B"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(2)</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Respondent’s Answering Brief on Appeal and Opening Brief on Cross-Appeal.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respondent </w:t>
      </w:r>
      <w:r w:rsidR="009D76E2">
        <w:rPr>
          <w:rFonts w:ascii="Century Schoolbook" w:hAnsi="Century Schoolbook"/>
          <w:color w:val="000000"/>
          <w:sz w:val="28"/>
          <w:szCs w:val="28"/>
        </w:rPr>
        <w:t>must</w:t>
      </w:r>
      <w:r w:rsidR="009D76E2" w:rsidRPr="00980541">
        <w:rPr>
          <w:rFonts w:ascii="Century Schoolbook" w:hAnsi="Century Schoolbook"/>
          <w:color w:val="000000"/>
          <w:sz w:val="28"/>
          <w:szCs w:val="28"/>
        </w:rPr>
        <w:t xml:space="preserve"> </w:t>
      </w:r>
      <w:r w:rsidRPr="00980541">
        <w:rPr>
          <w:rFonts w:ascii="Century Schoolbook" w:hAnsi="Century Schoolbook"/>
          <w:color w:val="000000"/>
          <w:sz w:val="28"/>
          <w:szCs w:val="28"/>
        </w:rPr>
        <w:t>file a combined answering brief on appeal and opening brief on cross-appeal. That brief must comply with Rule 28(a), except that the brief need not include a statement of the case or a statement of the facts unless the respondent is dissatisfied with the appellant’s statement.</w:t>
      </w:r>
    </w:p>
    <w:p w14:paraId="6FCF789B" w14:textId="4872D1EA"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lastRenderedPageBreak/>
        <w:t>      (3)</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Appellant’s Reply Brief on Appeal and Answering Brief on Cross-Appeal.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appellant </w:t>
      </w:r>
      <w:r w:rsidR="00192F81">
        <w:rPr>
          <w:rFonts w:ascii="Century Schoolbook" w:hAnsi="Century Schoolbook"/>
          <w:color w:val="000000"/>
          <w:sz w:val="28"/>
          <w:szCs w:val="28"/>
        </w:rPr>
        <w:t>must</w:t>
      </w:r>
      <w:r w:rsidR="00192F81" w:rsidRPr="00980541">
        <w:rPr>
          <w:rFonts w:ascii="Century Schoolbook" w:hAnsi="Century Schoolbook"/>
          <w:color w:val="000000"/>
          <w:sz w:val="28"/>
          <w:szCs w:val="28"/>
        </w:rPr>
        <w:t xml:space="preserve"> </w:t>
      </w:r>
      <w:r w:rsidRPr="00980541">
        <w:rPr>
          <w:rFonts w:ascii="Century Schoolbook" w:hAnsi="Century Schoolbook"/>
          <w:color w:val="000000"/>
          <w:sz w:val="28"/>
          <w:szCs w:val="28"/>
        </w:rPr>
        <w:t>file a brief that responds to the opening brief in the cross-appeal and may, in the same brief, reply to the response in the appeal. That brief must comply with Rule 28(a)(1)-(10) and (12), except that none of the following need appear unless the appellant is dissatisfied with the respondent’s statement in the cross-appeal:</w:t>
      </w:r>
    </w:p>
    <w:p w14:paraId="78C55C6F" w14:textId="2318C6DB" w:rsidR="00893B5A" w:rsidRDefault="00980541" w:rsidP="005D4829">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color w:val="000000"/>
          <w:sz w:val="28"/>
          <w:szCs w:val="28"/>
        </w:rPr>
        <w:t>             (A)</w:t>
      </w:r>
      <w:r w:rsidRPr="00980541">
        <w:rPr>
          <w:rFonts w:ascii="Century Schoolbook" w:hAnsi="Century Schoolbook"/>
          <w:color w:val="000000"/>
          <w:sz w:val="28"/>
          <w:szCs w:val="28"/>
        </w:rPr>
        <w:t> </w:t>
      </w:r>
      <w:r w:rsidR="00893B5A">
        <w:rPr>
          <w:rFonts w:ascii="Century Schoolbook" w:hAnsi="Century Schoolbook"/>
          <w:color w:val="000000"/>
          <w:sz w:val="28"/>
          <w:szCs w:val="28"/>
        </w:rPr>
        <w:t xml:space="preserve">the jurisdictional </w:t>
      </w:r>
      <w:proofErr w:type="gramStart"/>
      <w:r w:rsidR="00893B5A">
        <w:rPr>
          <w:rFonts w:ascii="Century Schoolbook" w:hAnsi="Century Schoolbook"/>
          <w:color w:val="000000"/>
          <w:sz w:val="28"/>
          <w:szCs w:val="28"/>
        </w:rPr>
        <w:t>statement</w:t>
      </w:r>
      <w:r w:rsidR="005F7535">
        <w:rPr>
          <w:rFonts w:ascii="Century Schoolbook" w:hAnsi="Century Schoolbook"/>
          <w:color w:val="000000"/>
          <w:sz w:val="28"/>
          <w:szCs w:val="28"/>
        </w:rPr>
        <w:t>;</w:t>
      </w:r>
      <w:proofErr w:type="gramEnd"/>
    </w:p>
    <w:p w14:paraId="0552D5F6" w14:textId="10F765B6" w:rsidR="00980541" w:rsidRPr="00980541" w:rsidRDefault="00893B5A" w:rsidP="00730CFB">
      <w:pPr>
        <w:pStyle w:val="sectbody"/>
        <w:spacing w:before="0" w:beforeAutospacing="0" w:after="0" w:afterAutospacing="0" w:line="480" w:lineRule="auto"/>
        <w:ind w:firstLine="720"/>
        <w:jc w:val="both"/>
        <w:rPr>
          <w:rFonts w:ascii="Century Schoolbook" w:hAnsi="Century Schoolbook"/>
          <w:color w:val="000000"/>
          <w:sz w:val="28"/>
          <w:szCs w:val="28"/>
        </w:rPr>
      </w:pPr>
      <w:r>
        <w:rPr>
          <w:rFonts w:ascii="Century Schoolbook" w:hAnsi="Century Schoolbook"/>
          <w:color w:val="000000"/>
          <w:sz w:val="28"/>
          <w:szCs w:val="28"/>
        </w:rPr>
        <w:t xml:space="preserve">    (B) </w:t>
      </w:r>
      <w:r w:rsidR="00E23887">
        <w:rPr>
          <w:rFonts w:ascii="Century Schoolbook" w:hAnsi="Century Schoolbook"/>
          <w:color w:val="000000"/>
          <w:sz w:val="28"/>
          <w:szCs w:val="28"/>
        </w:rPr>
        <w:t>the</w:t>
      </w:r>
      <w:r w:rsidR="00E23887" w:rsidRPr="00980541">
        <w:rPr>
          <w:rFonts w:ascii="Century Schoolbook" w:hAnsi="Century Schoolbook"/>
          <w:color w:val="000000"/>
          <w:sz w:val="28"/>
          <w:szCs w:val="28"/>
        </w:rPr>
        <w:t xml:space="preserve"> </w:t>
      </w:r>
      <w:r w:rsidR="00980541" w:rsidRPr="00980541">
        <w:rPr>
          <w:rFonts w:ascii="Century Schoolbook" w:hAnsi="Century Schoolbook"/>
          <w:color w:val="000000"/>
          <w:sz w:val="28"/>
          <w:szCs w:val="28"/>
        </w:rPr>
        <w:t xml:space="preserve">routing </w:t>
      </w:r>
      <w:proofErr w:type="gramStart"/>
      <w:r w:rsidR="00980541" w:rsidRPr="00980541">
        <w:rPr>
          <w:rFonts w:ascii="Century Schoolbook" w:hAnsi="Century Schoolbook"/>
          <w:color w:val="000000"/>
          <w:sz w:val="28"/>
          <w:szCs w:val="28"/>
        </w:rPr>
        <w:t>statement;</w:t>
      </w:r>
      <w:proofErr w:type="gramEnd"/>
    </w:p>
    <w:p w14:paraId="55E6F763" w14:textId="7E05BE25"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color w:val="000000"/>
          <w:sz w:val="28"/>
          <w:szCs w:val="28"/>
        </w:rPr>
        <w:t>             (</w:t>
      </w:r>
      <w:r w:rsidR="00BE46B4">
        <w:rPr>
          <w:rFonts w:ascii="Century Schoolbook" w:hAnsi="Century Schoolbook"/>
          <w:color w:val="000000"/>
          <w:sz w:val="28"/>
          <w:szCs w:val="28"/>
        </w:rPr>
        <w:t>C</w:t>
      </w:r>
      <w:r w:rsidRPr="00980541">
        <w:rPr>
          <w:rFonts w:ascii="Century Schoolbook" w:hAnsi="Century Schoolbook"/>
          <w:color w:val="000000"/>
          <w:sz w:val="28"/>
          <w:szCs w:val="28"/>
        </w:rPr>
        <w:t>)</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the statement of the </w:t>
      </w:r>
      <w:proofErr w:type="gramStart"/>
      <w:r w:rsidRPr="00980541">
        <w:rPr>
          <w:rFonts w:ascii="Century Schoolbook" w:hAnsi="Century Schoolbook"/>
          <w:color w:val="000000"/>
          <w:sz w:val="28"/>
          <w:szCs w:val="28"/>
        </w:rPr>
        <w:t>issues;</w:t>
      </w:r>
      <w:proofErr w:type="gramEnd"/>
    </w:p>
    <w:p w14:paraId="51378360" w14:textId="002E5769"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color w:val="000000"/>
          <w:sz w:val="28"/>
          <w:szCs w:val="28"/>
        </w:rPr>
        <w:t>             (</w:t>
      </w:r>
      <w:r w:rsidR="00BE46B4">
        <w:rPr>
          <w:rFonts w:ascii="Century Schoolbook" w:hAnsi="Century Schoolbook"/>
          <w:color w:val="000000"/>
          <w:sz w:val="28"/>
          <w:szCs w:val="28"/>
        </w:rPr>
        <w:t>D</w:t>
      </w:r>
      <w:r w:rsidRPr="00980541">
        <w:rPr>
          <w:rFonts w:ascii="Century Schoolbook" w:hAnsi="Century Schoolbook"/>
          <w:color w:val="000000"/>
          <w:sz w:val="28"/>
          <w:szCs w:val="28"/>
        </w:rPr>
        <w:t>)</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statement of the case;</w:t>
      </w:r>
      <w:r w:rsidR="007C335A">
        <w:rPr>
          <w:rFonts w:ascii="Century Schoolbook" w:hAnsi="Century Schoolbook"/>
          <w:color w:val="000000"/>
          <w:sz w:val="28"/>
          <w:szCs w:val="28"/>
        </w:rPr>
        <w:t xml:space="preserve"> </w:t>
      </w:r>
      <w:r w:rsidRPr="00980541">
        <w:rPr>
          <w:rFonts w:ascii="Century Schoolbook" w:hAnsi="Century Schoolbook"/>
          <w:color w:val="000000"/>
          <w:sz w:val="28"/>
          <w:szCs w:val="28"/>
        </w:rPr>
        <w:t>and</w:t>
      </w:r>
    </w:p>
    <w:p w14:paraId="59B7E3D3" w14:textId="66C80076"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color w:val="000000"/>
          <w:sz w:val="28"/>
          <w:szCs w:val="28"/>
        </w:rPr>
        <w:t>             (E)</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statement of the standard of review.</w:t>
      </w:r>
    </w:p>
    <w:p w14:paraId="2423D10D"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(4)</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Respondent’s Reply Brief on Cross-Appeal.</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The respondent may file a brief in reply to the response in the cross-appeal. That brief must comply with Rule 28(a)(1)-(2) and (12) and must be limited to the issues presented by the cross-appeal.</w:t>
      </w:r>
    </w:p>
    <w:p w14:paraId="610BA86F"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(5)</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No Further Briefs.</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Unless the court permits, no further briefs may be filed in a case involving a cross-appeal.</w:t>
      </w:r>
    </w:p>
    <w:p w14:paraId="7B4BC652" w14:textId="46BD45FB"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lastRenderedPageBreak/>
        <w:t>      (d)</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Cover.</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 The front cover of a brief must contain the information required by Rule 32(a)(2). </w:t>
      </w:r>
    </w:p>
    <w:p w14:paraId="2EED5120"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(e)</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Length.</w:t>
      </w:r>
    </w:p>
    <w:p w14:paraId="47B1B2DB" w14:textId="2579D60B" w:rsidR="00E23887" w:rsidRPr="00980541" w:rsidRDefault="008E48D8" w:rsidP="00730CFB">
      <w:pPr>
        <w:pStyle w:val="sectbody"/>
        <w:spacing w:before="0" w:beforeAutospacing="0" w:after="0" w:afterAutospacing="0" w:line="480" w:lineRule="auto"/>
        <w:ind w:firstLine="1440"/>
        <w:jc w:val="both"/>
        <w:rPr>
          <w:rFonts w:ascii="Century Schoolbook" w:hAnsi="Century Schoolbook"/>
          <w:color w:val="000000"/>
          <w:sz w:val="28"/>
          <w:szCs w:val="28"/>
        </w:rPr>
      </w:pPr>
      <w:r w:rsidRPr="00730CFB">
        <w:rPr>
          <w:rFonts w:ascii="Century Schoolbook" w:hAnsi="Century Schoolbook"/>
          <w:b/>
          <w:bCs/>
          <w:color w:val="000000"/>
          <w:sz w:val="28"/>
          <w:szCs w:val="28"/>
        </w:rPr>
        <w:t>(1)</w:t>
      </w:r>
      <w:r w:rsidR="00E23887">
        <w:rPr>
          <w:rFonts w:ascii="Century Schoolbook" w:hAnsi="Century Schoolbook"/>
          <w:b/>
          <w:bCs/>
          <w:color w:val="000000"/>
          <w:sz w:val="28"/>
          <w:szCs w:val="28"/>
        </w:rPr>
        <w:t> </w:t>
      </w:r>
      <w:r w:rsidR="00257C39">
        <w:rPr>
          <w:rFonts w:ascii="Century Schoolbook" w:hAnsi="Century Schoolbook"/>
          <w:b/>
          <w:bCs/>
          <w:color w:val="000000"/>
          <w:sz w:val="28"/>
          <w:szCs w:val="28"/>
        </w:rPr>
        <w:t xml:space="preserve">Opening brief or combined reply/answering brief.  </w:t>
      </w:r>
      <w:r w:rsidR="00980541" w:rsidRPr="00980541">
        <w:rPr>
          <w:rFonts w:ascii="Century Schoolbook" w:hAnsi="Century Schoolbook"/>
          <w:color w:val="000000"/>
          <w:sz w:val="28"/>
          <w:szCs w:val="28"/>
        </w:rPr>
        <w:t>The appellant’s opening brief or the appellant’s combined reply/answering brief is acceptable if</w:t>
      </w:r>
      <w:r w:rsidR="00257C39">
        <w:rPr>
          <w:rFonts w:ascii="Century Schoolbook" w:hAnsi="Century Schoolbook"/>
          <w:color w:val="000000"/>
          <w:sz w:val="28"/>
          <w:szCs w:val="28"/>
        </w:rPr>
        <w:t xml:space="preserve"> it complies with the </w:t>
      </w:r>
      <w:r w:rsidR="00CC18C3">
        <w:rPr>
          <w:rFonts w:ascii="Century Schoolbook" w:hAnsi="Century Schoolbook"/>
          <w:color w:val="000000"/>
          <w:sz w:val="28"/>
          <w:szCs w:val="28"/>
        </w:rPr>
        <w:t xml:space="preserve">page or type-volume limitations for an opening brief </w:t>
      </w:r>
      <w:r w:rsidR="00F411C7">
        <w:rPr>
          <w:rFonts w:ascii="Century Schoolbook" w:hAnsi="Century Schoolbook"/>
          <w:color w:val="000000"/>
          <w:sz w:val="28"/>
          <w:szCs w:val="28"/>
        </w:rPr>
        <w:t>under Rule 32(a)(7).</w:t>
      </w:r>
    </w:p>
    <w:p w14:paraId="251BFCE4" w14:textId="0F3916F0" w:rsidR="00E23887" w:rsidRPr="00980541" w:rsidRDefault="00E23887" w:rsidP="00730CFB">
      <w:pPr>
        <w:pStyle w:val="sectbody"/>
        <w:spacing w:before="0" w:beforeAutospacing="0" w:after="0" w:afterAutospacing="0" w:line="480" w:lineRule="auto"/>
        <w:ind w:firstLine="1440"/>
        <w:jc w:val="both"/>
        <w:rPr>
          <w:rFonts w:ascii="Century Schoolbook" w:hAnsi="Century Schoolbook"/>
          <w:color w:val="000000"/>
          <w:sz w:val="28"/>
          <w:szCs w:val="28"/>
        </w:rPr>
      </w:pPr>
      <w:r w:rsidRPr="00730CFB">
        <w:rPr>
          <w:rFonts w:ascii="Century Schoolbook" w:hAnsi="Century Schoolbook"/>
          <w:b/>
          <w:bCs/>
          <w:color w:val="000000"/>
          <w:sz w:val="28"/>
          <w:szCs w:val="28"/>
        </w:rPr>
        <w:t>(2)</w:t>
      </w:r>
      <w:r>
        <w:rPr>
          <w:rFonts w:ascii="Century Schoolbook" w:hAnsi="Century Schoolbook"/>
          <w:b/>
          <w:bCs/>
          <w:color w:val="000000"/>
          <w:sz w:val="28"/>
          <w:szCs w:val="28"/>
        </w:rPr>
        <w:t> </w:t>
      </w:r>
      <w:r w:rsidR="00F5097F" w:rsidRPr="00E23887">
        <w:rPr>
          <w:rFonts w:ascii="Century Schoolbook" w:hAnsi="Century Schoolbook"/>
          <w:b/>
          <w:bCs/>
          <w:color w:val="000000"/>
          <w:sz w:val="28"/>
          <w:szCs w:val="28"/>
        </w:rPr>
        <w:t>C</w:t>
      </w:r>
      <w:r w:rsidR="00F5097F">
        <w:rPr>
          <w:rFonts w:ascii="Century Schoolbook" w:hAnsi="Century Schoolbook"/>
          <w:b/>
          <w:bCs/>
          <w:color w:val="000000"/>
          <w:sz w:val="28"/>
          <w:szCs w:val="28"/>
        </w:rPr>
        <w:t xml:space="preserve">ombined answering brief/opening </w:t>
      </w:r>
      <w:r w:rsidR="00F5097F" w:rsidRPr="00F5097F">
        <w:rPr>
          <w:rFonts w:ascii="Century Schoolbook" w:hAnsi="Century Schoolbook"/>
          <w:b/>
          <w:bCs/>
          <w:color w:val="000000"/>
          <w:sz w:val="28"/>
          <w:szCs w:val="28"/>
        </w:rPr>
        <w:t>brief</w:t>
      </w:r>
      <w:r w:rsidR="00F5097F" w:rsidRPr="00730CFB">
        <w:rPr>
          <w:rFonts w:ascii="Century Schoolbook" w:hAnsi="Century Schoolbook"/>
          <w:b/>
          <w:bCs/>
          <w:color w:val="000000"/>
          <w:sz w:val="28"/>
          <w:szCs w:val="28"/>
        </w:rPr>
        <w:t>.</w:t>
      </w:r>
      <w:r w:rsidR="00F5097F">
        <w:rPr>
          <w:rFonts w:ascii="Century Schoolbook" w:hAnsi="Century Schoolbook"/>
          <w:color w:val="000000"/>
          <w:sz w:val="28"/>
          <w:szCs w:val="28"/>
        </w:rPr>
        <w:t xml:space="preserve"> </w:t>
      </w:r>
      <w:r w:rsidR="008E48D8">
        <w:rPr>
          <w:rFonts w:ascii="Century Schoolbook" w:hAnsi="Century Schoolbook"/>
          <w:color w:val="000000"/>
          <w:sz w:val="28"/>
          <w:szCs w:val="28"/>
        </w:rPr>
        <w:t>In a noncapital case, t</w:t>
      </w:r>
      <w:r w:rsidR="00980541" w:rsidRPr="00F5097F">
        <w:rPr>
          <w:rFonts w:ascii="Century Schoolbook" w:hAnsi="Century Schoolbook"/>
          <w:color w:val="000000"/>
          <w:sz w:val="28"/>
          <w:szCs w:val="28"/>
        </w:rPr>
        <w:t>he</w:t>
      </w:r>
      <w:r w:rsidR="00980541" w:rsidRPr="00980541">
        <w:rPr>
          <w:rFonts w:ascii="Century Schoolbook" w:hAnsi="Century Schoolbook"/>
          <w:color w:val="000000"/>
          <w:sz w:val="28"/>
          <w:szCs w:val="28"/>
        </w:rPr>
        <w:t xml:space="preserve"> respondent’s combined answering and opening brief is acceptable if</w:t>
      </w:r>
      <w:r w:rsidR="000377E8">
        <w:rPr>
          <w:rFonts w:ascii="Century Schoolbook" w:hAnsi="Century Schoolbook"/>
          <w:color w:val="000000"/>
          <w:sz w:val="28"/>
          <w:szCs w:val="28"/>
        </w:rPr>
        <w:t xml:space="preserve"> it does not exceed </w:t>
      </w:r>
      <w:r w:rsidR="00820E3B">
        <w:rPr>
          <w:rFonts w:ascii="Century Schoolbook" w:hAnsi="Century Schoolbook"/>
          <w:color w:val="000000"/>
          <w:sz w:val="28"/>
          <w:szCs w:val="28"/>
        </w:rPr>
        <w:t xml:space="preserve">40 pages, </w:t>
      </w:r>
      <w:r w:rsidR="00980541" w:rsidRPr="00980541">
        <w:rPr>
          <w:rFonts w:ascii="Century Schoolbook" w:hAnsi="Century Schoolbook"/>
          <w:color w:val="000000"/>
          <w:sz w:val="28"/>
          <w:szCs w:val="28"/>
        </w:rPr>
        <w:t>contains no more than 18,500 words</w:t>
      </w:r>
      <w:r w:rsidR="00404D04">
        <w:rPr>
          <w:rFonts w:ascii="Century Schoolbook" w:hAnsi="Century Schoolbook"/>
          <w:color w:val="000000"/>
          <w:sz w:val="28"/>
          <w:szCs w:val="28"/>
        </w:rPr>
        <w:t>,</w:t>
      </w:r>
      <w:r w:rsidR="00980541" w:rsidRPr="00980541">
        <w:rPr>
          <w:rFonts w:ascii="Century Schoolbook" w:hAnsi="Century Schoolbook"/>
          <w:color w:val="000000"/>
          <w:sz w:val="28"/>
          <w:szCs w:val="28"/>
        </w:rPr>
        <w:t xml:space="preserve"> or</w:t>
      </w:r>
      <w:r w:rsidR="00847539">
        <w:rPr>
          <w:rFonts w:ascii="Century Schoolbook" w:hAnsi="Century Schoolbook"/>
          <w:color w:val="000000"/>
          <w:sz w:val="28"/>
          <w:szCs w:val="28"/>
        </w:rPr>
        <w:t xml:space="preserve"> if</w:t>
      </w:r>
      <w:r w:rsidR="00980541" w:rsidRPr="00980541">
        <w:rPr>
          <w:rFonts w:ascii="Century Schoolbook" w:hAnsi="Century Schoolbook"/>
          <w:color w:val="000000"/>
          <w:sz w:val="28"/>
          <w:szCs w:val="28"/>
        </w:rPr>
        <w:t> </w:t>
      </w:r>
      <w:r w:rsidR="00980541" w:rsidRPr="00980541">
        <w:rPr>
          <w:rFonts w:ascii="Century Schoolbook" w:hAnsi="Century Schoolbook"/>
          <w:color w:val="000000"/>
          <w:sz w:val="28"/>
          <w:szCs w:val="28"/>
        </w:rPr>
        <w:t>it uses a monospaced typeface</w:t>
      </w:r>
      <w:r w:rsidR="00FF4EE6">
        <w:rPr>
          <w:rFonts w:ascii="Century Schoolbook" w:hAnsi="Century Schoolbook"/>
          <w:color w:val="000000"/>
          <w:sz w:val="28"/>
          <w:szCs w:val="28"/>
        </w:rPr>
        <w:t>,</w:t>
      </w:r>
      <w:r w:rsidR="00980541" w:rsidRPr="00980541">
        <w:rPr>
          <w:rFonts w:ascii="Century Schoolbook" w:hAnsi="Century Schoolbook"/>
          <w:color w:val="000000"/>
          <w:sz w:val="28"/>
          <w:szCs w:val="28"/>
        </w:rPr>
        <w:t xml:space="preserve"> contains no more than </w:t>
      </w:r>
      <w:r w:rsidR="006A0458">
        <w:rPr>
          <w:rFonts w:ascii="Century Schoolbook" w:hAnsi="Century Schoolbook"/>
          <w:color w:val="000000"/>
          <w:sz w:val="28"/>
          <w:szCs w:val="28"/>
        </w:rPr>
        <w:t>1,750</w:t>
      </w:r>
      <w:r w:rsidR="00980541" w:rsidRPr="00980541">
        <w:rPr>
          <w:rFonts w:ascii="Century Schoolbook" w:hAnsi="Century Schoolbook"/>
          <w:color w:val="000000"/>
          <w:sz w:val="28"/>
          <w:szCs w:val="28"/>
        </w:rPr>
        <w:t xml:space="preserve"> lines of text.</w:t>
      </w:r>
      <w:r w:rsidR="008E48D8">
        <w:rPr>
          <w:rFonts w:ascii="Century Schoolbook" w:hAnsi="Century Schoolbook"/>
          <w:color w:val="000000"/>
          <w:sz w:val="28"/>
          <w:szCs w:val="28"/>
        </w:rPr>
        <w:t xml:space="preserve"> In a capital case, these limitations are 100 pages, 46,670</w:t>
      </w:r>
      <w:r w:rsidR="008E48D8" w:rsidRPr="00980541">
        <w:rPr>
          <w:rFonts w:ascii="Century Schoolbook" w:hAnsi="Century Schoolbook"/>
          <w:color w:val="000000"/>
          <w:sz w:val="28"/>
          <w:szCs w:val="28"/>
        </w:rPr>
        <w:t xml:space="preserve"> words</w:t>
      </w:r>
      <w:r w:rsidR="008E48D8">
        <w:rPr>
          <w:rFonts w:ascii="Century Schoolbook" w:hAnsi="Century Schoolbook"/>
          <w:color w:val="000000"/>
          <w:sz w:val="28"/>
          <w:szCs w:val="28"/>
        </w:rPr>
        <w:t>,</w:t>
      </w:r>
      <w:r w:rsidR="008E48D8" w:rsidRPr="00980541">
        <w:rPr>
          <w:rFonts w:ascii="Century Schoolbook" w:hAnsi="Century Schoolbook"/>
          <w:color w:val="000000"/>
          <w:sz w:val="28"/>
          <w:szCs w:val="28"/>
        </w:rPr>
        <w:t xml:space="preserve"> or</w:t>
      </w:r>
      <w:r w:rsidR="008E48D8">
        <w:rPr>
          <w:rFonts w:ascii="Century Schoolbook" w:hAnsi="Century Schoolbook"/>
          <w:color w:val="000000"/>
          <w:sz w:val="28"/>
          <w:szCs w:val="28"/>
        </w:rPr>
        <w:t xml:space="preserve"> 4,330 lines of text.</w:t>
      </w:r>
    </w:p>
    <w:p w14:paraId="04A1EB68" w14:textId="4965B815" w:rsidR="00980541" w:rsidRPr="00980541" w:rsidRDefault="00E23887" w:rsidP="00730CFB">
      <w:pPr>
        <w:pStyle w:val="sectbody"/>
        <w:spacing w:before="0" w:beforeAutospacing="0" w:after="0" w:afterAutospacing="0" w:line="480" w:lineRule="auto"/>
        <w:ind w:firstLine="1440"/>
        <w:jc w:val="both"/>
        <w:rPr>
          <w:rFonts w:ascii="Century Schoolbook" w:hAnsi="Century Schoolbook"/>
          <w:color w:val="000000"/>
          <w:sz w:val="28"/>
          <w:szCs w:val="28"/>
        </w:rPr>
      </w:pPr>
      <w:r w:rsidRPr="00730CFB">
        <w:rPr>
          <w:rFonts w:ascii="Century Schoolbook" w:hAnsi="Century Schoolbook"/>
          <w:b/>
          <w:color w:val="000000"/>
          <w:sz w:val="28"/>
          <w:szCs w:val="28"/>
        </w:rPr>
        <w:t>(3) </w:t>
      </w:r>
      <w:r w:rsidR="00067167">
        <w:rPr>
          <w:rFonts w:ascii="Century Schoolbook" w:hAnsi="Century Schoolbook"/>
          <w:b/>
          <w:bCs/>
          <w:color w:val="000000"/>
          <w:sz w:val="28"/>
          <w:szCs w:val="28"/>
        </w:rPr>
        <w:t>Reply brief</w:t>
      </w:r>
      <w:r w:rsidR="007C49DA">
        <w:rPr>
          <w:rFonts w:ascii="Century Schoolbook" w:hAnsi="Century Schoolbook"/>
          <w:b/>
          <w:bCs/>
          <w:color w:val="000000"/>
          <w:sz w:val="28"/>
          <w:szCs w:val="28"/>
        </w:rPr>
        <w:t>.</w:t>
      </w:r>
      <w:r w:rsidR="007C49DA">
        <w:rPr>
          <w:rFonts w:ascii="Century Schoolbook" w:hAnsi="Century Schoolbook"/>
          <w:color w:val="000000"/>
          <w:sz w:val="28"/>
          <w:szCs w:val="28"/>
        </w:rPr>
        <w:t xml:space="preserve"> </w:t>
      </w:r>
      <w:r w:rsidR="007C49DA">
        <w:rPr>
          <w:rFonts w:ascii="Century Schoolbook" w:hAnsi="Century Schoolbook"/>
          <w:b/>
          <w:bCs/>
          <w:color w:val="000000"/>
          <w:sz w:val="28"/>
          <w:szCs w:val="28"/>
        </w:rPr>
        <w:t xml:space="preserve"> </w:t>
      </w:r>
      <w:r w:rsidR="00980541" w:rsidRPr="00980541">
        <w:rPr>
          <w:rFonts w:ascii="Century Schoolbook" w:hAnsi="Century Schoolbook"/>
          <w:color w:val="000000"/>
          <w:sz w:val="28"/>
          <w:szCs w:val="28"/>
        </w:rPr>
        <w:t xml:space="preserve">The respondent’s reply brief is acceptable if it </w:t>
      </w:r>
      <w:r w:rsidR="007C49DA">
        <w:rPr>
          <w:rFonts w:ascii="Century Schoolbook" w:hAnsi="Century Schoolbook"/>
          <w:color w:val="000000"/>
          <w:sz w:val="28"/>
          <w:szCs w:val="28"/>
        </w:rPr>
        <w:t>complies with the page or type-volume limitations for a reply brief under Rule 32(a)(7)</w:t>
      </w:r>
      <w:r w:rsidR="00980541" w:rsidRPr="00980541">
        <w:rPr>
          <w:rFonts w:ascii="Century Schoolbook" w:hAnsi="Century Schoolbook"/>
          <w:color w:val="000000"/>
          <w:sz w:val="28"/>
          <w:szCs w:val="28"/>
        </w:rPr>
        <w:t>.</w:t>
      </w:r>
    </w:p>
    <w:p w14:paraId="0BD5F148" w14:textId="77777777" w:rsidR="00980541" w:rsidRPr="00980541"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(f)</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Time to Serve and File a Brief.</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Unless the court orders a different briefing schedule in a particular case, briefs in cross-appeals </w:t>
      </w:r>
      <w:r w:rsidRPr="00980541">
        <w:rPr>
          <w:rFonts w:ascii="Century Schoolbook" w:hAnsi="Century Schoolbook"/>
          <w:color w:val="000000"/>
          <w:sz w:val="28"/>
          <w:szCs w:val="28"/>
        </w:rPr>
        <w:lastRenderedPageBreak/>
        <w:t>must be served and filed as provided in this Rule. Motions for extensions of time are governed by Rule 31(b).</w:t>
      </w:r>
    </w:p>
    <w:p w14:paraId="2AB7E95A" w14:textId="4EE92FD6" w:rsidR="00980541" w:rsidRPr="00980541" w:rsidRDefault="00980541" w:rsidP="000F73E3">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(1)</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 xml:space="preserve">All Cross-Appeals Except </w:t>
      </w:r>
      <w:r w:rsidR="007453C2">
        <w:rPr>
          <w:rFonts w:ascii="Century Schoolbook" w:hAnsi="Century Schoolbook"/>
          <w:b/>
          <w:bCs/>
          <w:color w:val="000000"/>
          <w:sz w:val="28"/>
          <w:szCs w:val="28"/>
        </w:rPr>
        <w:t xml:space="preserve">Fast Track </w:t>
      </w:r>
      <w:r w:rsidRPr="00980541">
        <w:rPr>
          <w:rFonts w:ascii="Century Schoolbook" w:hAnsi="Century Schoolbook"/>
          <w:b/>
          <w:bCs/>
          <w:color w:val="000000"/>
          <w:sz w:val="28"/>
          <w:szCs w:val="28"/>
        </w:rPr>
        <w:t>Child Custody</w:t>
      </w:r>
      <w:r w:rsidR="007453C2">
        <w:rPr>
          <w:rFonts w:ascii="Century Schoolbook" w:hAnsi="Century Schoolbook"/>
          <w:b/>
          <w:bCs/>
          <w:color w:val="000000"/>
          <w:sz w:val="28"/>
          <w:szCs w:val="28"/>
        </w:rPr>
        <w:t xml:space="preserve"> Cases and</w:t>
      </w:r>
      <w:r w:rsidRPr="00980541">
        <w:rPr>
          <w:rFonts w:ascii="Century Schoolbook" w:hAnsi="Century Schoolbook"/>
          <w:b/>
          <w:bCs/>
          <w:color w:val="000000"/>
          <w:sz w:val="28"/>
          <w:szCs w:val="28"/>
        </w:rPr>
        <w:t xml:space="preserve"> </w:t>
      </w:r>
      <w:r w:rsidR="006F0AB6">
        <w:rPr>
          <w:rFonts w:ascii="Century Schoolbook" w:hAnsi="Century Schoolbook"/>
          <w:b/>
          <w:bCs/>
          <w:color w:val="000000"/>
          <w:sz w:val="28"/>
          <w:szCs w:val="28"/>
        </w:rPr>
        <w:t>Termination of Parental Rights</w:t>
      </w:r>
      <w:r w:rsidRPr="00980541">
        <w:rPr>
          <w:rFonts w:ascii="Century Schoolbook" w:hAnsi="Century Schoolbook"/>
          <w:b/>
          <w:bCs/>
          <w:color w:val="000000"/>
          <w:sz w:val="28"/>
          <w:szCs w:val="28"/>
        </w:rPr>
        <w:t>.</w:t>
      </w:r>
      <w:r w:rsidR="007453C2">
        <w:rPr>
          <w:rFonts w:ascii="Century Schoolbook" w:hAnsi="Century Schoolbook"/>
          <w:b/>
          <w:bCs/>
          <w:color w:val="000000"/>
          <w:sz w:val="28"/>
          <w:szCs w:val="28"/>
        </w:rPr>
        <w:t xml:space="preserve"> </w:t>
      </w:r>
      <w:r w:rsidR="00992EBE">
        <w:rPr>
          <w:rFonts w:ascii="Century Schoolbook" w:hAnsi="Century Schoolbook"/>
          <w:color w:val="000000"/>
          <w:sz w:val="28"/>
          <w:szCs w:val="28"/>
        </w:rPr>
        <w:t>T</w:t>
      </w:r>
      <w:r w:rsidRPr="00980541">
        <w:rPr>
          <w:rFonts w:ascii="Century Schoolbook" w:hAnsi="Century Schoolbook"/>
          <w:color w:val="000000"/>
          <w:sz w:val="28"/>
          <w:szCs w:val="28"/>
        </w:rPr>
        <w:t>he appellant’s opening brief</w:t>
      </w:r>
      <w:r w:rsidR="00554A34">
        <w:rPr>
          <w:rFonts w:ascii="Century Schoolbook" w:hAnsi="Century Schoolbook"/>
          <w:color w:val="000000"/>
          <w:sz w:val="28"/>
          <w:szCs w:val="28"/>
        </w:rPr>
        <w:t xml:space="preserve"> shall be filed</w:t>
      </w:r>
      <w:r w:rsidRPr="00980541">
        <w:rPr>
          <w:rFonts w:ascii="Century Schoolbook" w:hAnsi="Century Schoolbook"/>
          <w:color w:val="000000"/>
          <w:sz w:val="28"/>
          <w:szCs w:val="28"/>
        </w:rPr>
        <w:t xml:space="preserve"> </w:t>
      </w:r>
      <w:r w:rsidR="000F73E3">
        <w:rPr>
          <w:rFonts w:ascii="Century Schoolbook" w:hAnsi="Century Schoolbook"/>
          <w:color w:val="000000"/>
          <w:sz w:val="28"/>
          <w:szCs w:val="28"/>
        </w:rPr>
        <w:t xml:space="preserve">and served </w:t>
      </w:r>
      <w:r w:rsidRPr="00980541">
        <w:rPr>
          <w:rFonts w:ascii="Century Schoolbook" w:hAnsi="Century Schoolbook"/>
          <w:color w:val="000000"/>
          <w:sz w:val="28"/>
          <w:szCs w:val="28"/>
        </w:rPr>
        <w:t>within 120 days after the date on which the appeal is docketed in the Supreme Court</w:t>
      </w:r>
      <w:r w:rsidR="00554A34">
        <w:rPr>
          <w:rFonts w:ascii="Century Schoolbook" w:hAnsi="Century Schoolbook"/>
          <w:color w:val="000000"/>
          <w:sz w:val="28"/>
          <w:szCs w:val="28"/>
        </w:rPr>
        <w:t xml:space="preserve">.  </w:t>
      </w:r>
      <w:r w:rsidR="008A06A7">
        <w:rPr>
          <w:rFonts w:ascii="Century Schoolbook" w:hAnsi="Century Schoolbook"/>
          <w:color w:val="000000"/>
          <w:sz w:val="28"/>
          <w:szCs w:val="28"/>
        </w:rPr>
        <w:t xml:space="preserve">All </w:t>
      </w:r>
      <w:r w:rsidR="00356CF5">
        <w:rPr>
          <w:rFonts w:ascii="Century Schoolbook" w:hAnsi="Century Schoolbook"/>
          <w:color w:val="000000"/>
          <w:sz w:val="28"/>
          <w:szCs w:val="28"/>
        </w:rPr>
        <w:t>subsequent</w:t>
      </w:r>
      <w:r w:rsidR="008A06A7">
        <w:rPr>
          <w:rFonts w:ascii="Century Schoolbook" w:hAnsi="Century Schoolbook"/>
          <w:color w:val="000000"/>
          <w:sz w:val="28"/>
          <w:szCs w:val="28"/>
        </w:rPr>
        <w:t xml:space="preserve"> briefs shall be filed</w:t>
      </w:r>
      <w:r w:rsidR="00A74B84">
        <w:rPr>
          <w:rFonts w:ascii="Century Schoolbook" w:hAnsi="Century Schoolbook"/>
          <w:color w:val="000000"/>
          <w:sz w:val="28"/>
          <w:szCs w:val="28"/>
        </w:rPr>
        <w:t xml:space="preserve"> and served</w:t>
      </w:r>
      <w:r w:rsidR="008A06A7">
        <w:rPr>
          <w:rFonts w:ascii="Century Schoolbook" w:hAnsi="Century Schoolbook"/>
          <w:color w:val="000000"/>
          <w:sz w:val="28"/>
          <w:szCs w:val="28"/>
        </w:rPr>
        <w:t xml:space="preserve"> within 30 days </w:t>
      </w:r>
      <w:r w:rsidR="00AD2800">
        <w:rPr>
          <w:rFonts w:ascii="Century Schoolbook" w:hAnsi="Century Schoolbook"/>
          <w:color w:val="000000"/>
          <w:sz w:val="28"/>
          <w:szCs w:val="28"/>
        </w:rPr>
        <w:t>of service of the opposing party’s brief.</w:t>
      </w:r>
    </w:p>
    <w:p w14:paraId="14AC1C50" w14:textId="05177981" w:rsidR="00BD0BAC" w:rsidRDefault="00980541" w:rsidP="00980541">
      <w:pPr>
        <w:pStyle w:val="sectbody"/>
        <w:spacing w:before="0" w:beforeAutospacing="0" w:after="0" w:afterAutospacing="0" w:line="480" w:lineRule="auto"/>
        <w:jc w:val="both"/>
        <w:rPr>
          <w:rFonts w:ascii="Century Schoolbook" w:hAnsi="Century Schoolbook"/>
          <w:color w:val="000000"/>
          <w:sz w:val="28"/>
          <w:szCs w:val="28"/>
        </w:rPr>
      </w:pPr>
      <w:r w:rsidRPr="00980541">
        <w:rPr>
          <w:rFonts w:ascii="Century Schoolbook" w:hAnsi="Century Schoolbook"/>
          <w:b/>
          <w:bCs/>
          <w:color w:val="000000"/>
          <w:sz w:val="28"/>
          <w:szCs w:val="28"/>
        </w:rPr>
        <w:t>      (2)</w:t>
      </w:r>
      <w:r w:rsidRPr="00980541">
        <w:rPr>
          <w:rFonts w:ascii="Century Schoolbook" w:hAnsi="Century Schoolbook"/>
          <w:b/>
          <w:bCs/>
          <w:color w:val="000000"/>
          <w:sz w:val="28"/>
          <w:szCs w:val="28"/>
        </w:rPr>
        <w:t> </w:t>
      </w:r>
      <w:r w:rsidRPr="00980541">
        <w:rPr>
          <w:rFonts w:ascii="Century Schoolbook" w:hAnsi="Century Schoolbook"/>
          <w:b/>
          <w:bCs/>
          <w:color w:val="000000"/>
          <w:sz w:val="28"/>
          <w:szCs w:val="28"/>
        </w:rPr>
        <w:t xml:space="preserve">Cross-Appeals </w:t>
      </w:r>
      <w:r w:rsidR="007453C2">
        <w:rPr>
          <w:rFonts w:ascii="Century Schoolbook" w:hAnsi="Century Schoolbook"/>
          <w:b/>
          <w:bCs/>
          <w:color w:val="000000"/>
          <w:sz w:val="28"/>
          <w:szCs w:val="28"/>
        </w:rPr>
        <w:t>in</w:t>
      </w:r>
      <w:r w:rsidR="007453C2" w:rsidRPr="00980541">
        <w:rPr>
          <w:rFonts w:ascii="Century Schoolbook" w:hAnsi="Century Schoolbook"/>
          <w:b/>
          <w:bCs/>
          <w:color w:val="000000"/>
          <w:sz w:val="28"/>
          <w:szCs w:val="28"/>
        </w:rPr>
        <w:t xml:space="preserve"> </w:t>
      </w:r>
      <w:r w:rsidR="007453C2">
        <w:rPr>
          <w:rFonts w:ascii="Century Schoolbook" w:hAnsi="Century Schoolbook"/>
          <w:b/>
          <w:bCs/>
          <w:color w:val="000000"/>
          <w:sz w:val="28"/>
          <w:szCs w:val="28"/>
        </w:rPr>
        <w:t xml:space="preserve">Fast Track </w:t>
      </w:r>
      <w:r w:rsidRPr="00980541">
        <w:rPr>
          <w:rFonts w:ascii="Century Schoolbook" w:hAnsi="Century Schoolbook"/>
          <w:b/>
          <w:bCs/>
          <w:color w:val="000000"/>
          <w:sz w:val="28"/>
          <w:szCs w:val="28"/>
        </w:rPr>
        <w:t>Child Custody</w:t>
      </w:r>
      <w:r w:rsidR="007453C2">
        <w:rPr>
          <w:rFonts w:ascii="Century Schoolbook" w:hAnsi="Century Schoolbook"/>
          <w:b/>
          <w:bCs/>
          <w:color w:val="000000"/>
          <w:sz w:val="28"/>
          <w:szCs w:val="28"/>
        </w:rPr>
        <w:t xml:space="preserve"> Cases</w:t>
      </w:r>
      <w:r w:rsidRPr="00980541">
        <w:rPr>
          <w:rFonts w:ascii="Century Schoolbook" w:hAnsi="Century Schoolbook"/>
          <w:b/>
          <w:bCs/>
          <w:color w:val="000000"/>
          <w:sz w:val="28"/>
          <w:szCs w:val="28"/>
        </w:rPr>
        <w:t xml:space="preserve"> or</w:t>
      </w:r>
      <w:r w:rsidR="007453C2">
        <w:rPr>
          <w:rFonts w:ascii="Century Schoolbook" w:hAnsi="Century Schoolbook"/>
          <w:b/>
          <w:bCs/>
          <w:color w:val="000000"/>
          <w:sz w:val="28"/>
          <w:szCs w:val="28"/>
        </w:rPr>
        <w:t xml:space="preserve"> Involving</w:t>
      </w:r>
      <w:r w:rsidRPr="00980541">
        <w:rPr>
          <w:rFonts w:ascii="Century Schoolbook" w:hAnsi="Century Schoolbook"/>
          <w:b/>
          <w:bCs/>
          <w:color w:val="000000"/>
          <w:sz w:val="28"/>
          <w:szCs w:val="28"/>
        </w:rPr>
        <w:t xml:space="preserve"> </w:t>
      </w:r>
      <w:r w:rsidR="00BE02A1">
        <w:rPr>
          <w:rFonts w:ascii="Century Schoolbook" w:hAnsi="Century Schoolbook"/>
          <w:b/>
          <w:bCs/>
          <w:color w:val="000000"/>
          <w:sz w:val="28"/>
          <w:szCs w:val="28"/>
        </w:rPr>
        <w:t>Termination of Parental Rights</w:t>
      </w:r>
      <w:r w:rsidRPr="00980541">
        <w:rPr>
          <w:rFonts w:ascii="Century Schoolbook" w:hAnsi="Century Schoolbook"/>
          <w:b/>
          <w:bCs/>
          <w:color w:val="000000"/>
          <w:sz w:val="28"/>
          <w:szCs w:val="28"/>
        </w:rPr>
        <w:t>.</w:t>
      </w:r>
      <w:r w:rsidR="00E23887">
        <w:rPr>
          <w:rFonts w:ascii="Century Schoolbook" w:hAnsi="Century Schoolbook"/>
          <w:color w:val="000000"/>
          <w:sz w:val="28"/>
          <w:szCs w:val="28"/>
        </w:rPr>
        <w:t xml:space="preserve"> </w:t>
      </w:r>
      <w:r w:rsidR="00992EBE">
        <w:rPr>
          <w:rFonts w:ascii="Century Schoolbook" w:hAnsi="Century Schoolbook"/>
          <w:color w:val="000000"/>
          <w:sz w:val="28"/>
          <w:szCs w:val="28"/>
        </w:rPr>
        <w:t>T</w:t>
      </w:r>
      <w:r w:rsidRPr="00980541">
        <w:rPr>
          <w:rFonts w:ascii="Century Schoolbook" w:hAnsi="Century Schoolbook"/>
          <w:color w:val="000000"/>
          <w:sz w:val="28"/>
          <w:szCs w:val="28"/>
        </w:rPr>
        <w:t>he appellant’s opening brief</w:t>
      </w:r>
      <w:r w:rsidR="000F73E3">
        <w:rPr>
          <w:rFonts w:ascii="Century Schoolbook" w:hAnsi="Century Schoolbook"/>
          <w:color w:val="000000"/>
          <w:sz w:val="28"/>
          <w:szCs w:val="28"/>
        </w:rPr>
        <w:t xml:space="preserve"> shall be filed and served</w:t>
      </w:r>
      <w:r w:rsidRPr="00980541">
        <w:rPr>
          <w:rFonts w:ascii="Century Schoolbook" w:hAnsi="Century Schoolbook"/>
          <w:color w:val="000000"/>
          <w:sz w:val="28"/>
          <w:szCs w:val="28"/>
        </w:rPr>
        <w:t xml:space="preserve"> within 90 days after the date on which the appeal is docketed in the Supreme Court</w:t>
      </w:r>
      <w:r w:rsidR="000F73E3">
        <w:rPr>
          <w:rFonts w:ascii="Century Schoolbook" w:hAnsi="Century Schoolbook"/>
          <w:color w:val="000000"/>
          <w:sz w:val="28"/>
          <w:szCs w:val="28"/>
        </w:rPr>
        <w:t xml:space="preserve">.  </w:t>
      </w:r>
      <w:r w:rsidR="00BF7864">
        <w:rPr>
          <w:rFonts w:ascii="Century Schoolbook" w:hAnsi="Century Schoolbook"/>
          <w:color w:val="000000"/>
          <w:sz w:val="28"/>
          <w:szCs w:val="28"/>
        </w:rPr>
        <w:t>T</w:t>
      </w:r>
      <w:r w:rsidRPr="00980541">
        <w:rPr>
          <w:rFonts w:ascii="Century Schoolbook" w:hAnsi="Century Schoolbook"/>
          <w:color w:val="000000"/>
          <w:sz w:val="28"/>
          <w:szCs w:val="28"/>
        </w:rPr>
        <w:t>he respondent’s combined answering brief</w:t>
      </w:r>
      <w:r w:rsidR="00BF7864">
        <w:rPr>
          <w:rFonts w:ascii="Century Schoolbook" w:hAnsi="Century Schoolbook"/>
          <w:color w:val="000000"/>
          <w:sz w:val="28"/>
          <w:szCs w:val="28"/>
        </w:rPr>
        <w:t>/</w:t>
      </w:r>
      <w:r w:rsidRPr="00980541">
        <w:rPr>
          <w:rFonts w:ascii="Century Schoolbook" w:hAnsi="Century Schoolbook"/>
          <w:color w:val="000000"/>
          <w:sz w:val="28"/>
          <w:szCs w:val="28"/>
        </w:rPr>
        <w:t xml:space="preserve">opening brief </w:t>
      </w:r>
      <w:r w:rsidR="00BF7864">
        <w:rPr>
          <w:rFonts w:ascii="Century Schoolbook" w:hAnsi="Century Schoolbook"/>
          <w:color w:val="000000"/>
          <w:sz w:val="28"/>
          <w:szCs w:val="28"/>
        </w:rPr>
        <w:t>and appellant’s combined reply brief/answering brief shall be filed and served</w:t>
      </w:r>
      <w:r w:rsidRPr="00980541">
        <w:rPr>
          <w:rFonts w:ascii="Century Schoolbook" w:hAnsi="Century Schoolbook"/>
          <w:color w:val="000000"/>
          <w:sz w:val="28"/>
          <w:szCs w:val="28"/>
        </w:rPr>
        <w:t xml:space="preserve"> within 21 days </w:t>
      </w:r>
      <w:r w:rsidR="004E747D">
        <w:rPr>
          <w:rFonts w:ascii="Century Schoolbook" w:hAnsi="Century Schoolbook"/>
          <w:color w:val="000000"/>
          <w:sz w:val="28"/>
          <w:szCs w:val="28"/>
        </w:rPr>
        <w:t>of service of the opposing party’s brief.  T</w:t>
      </w:r>
      <w:r w:rsidRPr="00980541">
        <w:rPr>
          <w:rFonts w:ascii="Century Schoolbook" w:hAnsi="Century Schoolbook"/>
          <w:color w:val="000000"/>
          <w:sz w:val="28"/>
          <w:szCs w:val="28"/>
        </w:rPr>
        <w:t>he respondent’s reply brief on cross-appeal</w:t>
      </w:r>
      <w:r w:rsidR="00002E70">
        <w:rPr>
          <w:rFonts w:ascii="Century Schoolbook" w:hAnsi="Century Schoolbook"/>
          <w:color w:val="000000"/>
          <w:sz w:val="28"/>
          <w:szCs w:val="28"/>
        </w:rPr>
        <w:t xml:space="preserve"> shall be filed and served</w:t>
      </w:r>
      <w:r w:rsidRPr="00980541">
        <w:rPr>
          <w:rFonts w:ascii="Century Schoolbook" w:hAnsi="Century Schoolbook"/>
          <w:color w:val="000000"/>
          <w:sz w:val="28"/>
          <w:szCs w:val="28"/>
        </w:rPr>
        <w:t xml:space="preserve"> within 14 days after </w:t>
      </w:r>
      <w:r w:rsidR="00002E70">
        <w:rPr>
          <w:rFonts w:ascii="Century Schoolbook" w:hAnsi="Century Schoolbook"/>
          <w:color w:val="000000"/>
          <w:sz w:val="28"/>
          <w:szCs w:val="28"/>
        </w:rPr>
        <w:t xml:space="preserve">service of </w:t>
      </w:r>
      <w:r w:rsidRPr="00980541">
        <w:rPr>
          <w:rFonts w:ascii="Century Schoolbook" w:hAnsi="Century Schoolbook"/>
          <w:color w:val="000000"/>
          <w:sz w:val="28"/>
          <w:szCs w:val="28"/>
        </w:rPr>
        <w:t>the appellant’s combined reply brief</w:t>
      </w:r>
      <w:r w:rsidR="00002E70">
        <w:rPr>
          <w:rFonts w:ascii="Century Schoolbook" w:hAnsi="Century Schoolbook"/>
          <w:color w:val="000000"/>
          <w:sz w:val="28"/>
          <w:szCs w:val="28"/>
        </w:rPr>
        <w:t>/</w:t>
      </w:r>
      <w:r w:rsidRPr="00980541">
        <w:rPr>
          <w:rFonts w:ascii="Century Schoolbook" w:hAnsi="Century Schoolbook"/>
          <w:color w:val="000000"/>
          <w:sz w:val="28"/>
          <w:szCs w:val="28"/>
        </w:rPr>
        <w:t>answering brief.</w:t>
      </w:r>
    </w:p>
    <w:p w14:paraId="53D554F5" w14:textId="20BA0587" w:rsidR="00BC10CF" w:rsidRDefault="00BC10CF" w:rsidP="00730CFB">
      <w:pPr>
        <w:pStyle w:val="sectbody"/>
        <w:spacing w:before="0" w:beforeAutospacing="0" w:after="0" w:afterAutospacing="0" w:line="480" w:lineRule="auto"/>
        <w:ind w:firstLine="720"/>
        <w:jc w:val="both"/>
        <w:rPr>
          <w:rFonts w:ascii="Century Schoolbook" w:hAnsi="Century Schoolbook"/>
          <w:color w:val="000000"/>
          <w:sz w:val="28"/>
          <w:szCs w:val="28"/>
        </w:rPr>
      </w:pPr>
      <w:r w:rsidRPr="00730CFB">
        <w:rPr>
          <w:rFonts w:ascii="Century Schoolbook" w:hAnsi="Century Schoolbook"/>
          <w:b/>
          <w:bCs/>
          <w:color w:val="000000"/>
          <w:sz w:val="28"/>
          <w:szCs w:val="28"/>
        </w:rPr>
        <w:t>(g)</w:t>
      </w:r>
      <w:r>
        <w:rPr>
          <w:rFonts w:ascii="Century Schoolbook" w:hAnsi="Century Schoolbook"/>
          <w:color w:val="000000"/>
          <w:sz w:val="28"/>
          <w:szCs w:val="28"/>
        </w:rPr>
        <w:t xml:space="preserve"> </w:t>
      </w:r>
      <w:r w:rsidRPr="00980541">
        <w:rPr>
          <w:rFonts w:ascii="Century Schoolbook" w:hAnsi="Century Schoolbook"/>
          <w:b/>
          <w:bCs/>
          <w:color w:val="000000"/>
          <w:sz w:val="28"/>
          <w:szCs w:val="28"/>
        </w:rPr>
        <w:t>Certificate of Compliance.</w:t>
      </w:r>
      <w:r w:rsidRPr="00980541">
        <w:rPr>
          <w:rFonts w:ascii="Century Schoolbook" w:hAnsi="Century Schoolbook"/>
          <w:color w:val="000000"/>
          <w:sz w:val="28"/>
          <w:szCs w:val="28"/>
        </w:rPr>
        <w:t> </w:t>
      </w:r>
      <w:r w:rsidRPr="00980541">
        <w:rPr>
          <w:rFonts w:ascii="Century Schoolbook" w:hAnsi="Century Schoolbook"/>
          <w:color w:val="000000"/>
          <w:sz w:val="28"/>
          <w:szCs w:val="28"/>
        </w:rPr>
        <w:t> </w:t>
      </w:r>
      <w:r w:rsidRPr="00980541">
        <w:rPr>
          <w:rFonts w:ascii="Century Schoolbook" w:hAnsi="Century Schoolbook"/>
          <w:color w:val="000000"/>
          <w:sz w:val="28"/>
          <w:szCs w:val="28"/>
        </w:rPr>
        <w:t xml:space="preserve">A brief submitted pursuant to this Rule </w:t>
      </w:r>
      <w:r>
        <w:rPr>
          <w:rFonts w:ascii="Century Schoolbook" w:hAnsi="Century Schoolbook"/>
          <w:color w:val="000000"/>
          <w:sz w:val="28"/>
          <w:szCs w:val="28"/>
        </w:rPr>
        <w:t>must</w:t>
      </w:r>
      <w:r w:rsidRPr="00980541">
        <w:rPr>
          <w:rFonts w:ascii="Century Schoolbook" w:hAnsi="Century Schoolbook"/>
          <w:color w:val="000000"/>
          <w:sz w:val="28"/>
          <w:szCs w:val="28"/>
        </w:rPr>
        <w:t xml:space="preserve"> </w:t>
      </w:r>
      <w:r>
        <w:rPr>
          <w:rFonts w:ascii="Century Schoolbook" w:hAnsi="Century Schoolbook"/>
          <w:color w:val="000000"/>
          <w:sz w:val="28"/>
          <w:szCs w:val="28"/>
        </w:rPr>
        <w:t>include the certificate of compliance required by</w:t>
      </w:r>
      <w:r w:rsidRPr="00980541">
        <w:rPr>
          <w:rFonts w:ascii="Century Schoolbook" w:hAnsi="Century Schoolbook"/>
          <w:color w:val="000000"/>
          <w:sz w:val="28"/>
          <w:szCs w:val="28"/>
        </w:rPr>
        <w:t xml:space="preserve"> Rule 32(a)(</w:t>
      </w:r>
      <w:r>
        <w:rPr>
          <w:rFonts w:ascii="Century Schoolbook" w:hAnsi="Century Schoolbook"/>
          <w:color w:val="000000"/>
          <w:sz w:val="28"/>
          <w:szCs w:val="28"/>
        </w:rPr>
        <w:t>9</w:t>
      </w:r>
      <w:r w:rsidRPr="00980541">
        <w:rPr>
          <w:rFonts w:ascii="Century Schoolbook" w:hAnsi="Century Schoolbook"/>
          <w:color w:val="000000"/>
          <w:sz w:val="28"/>
          <w:szCs w:val="28"/>
        </w:rPr>
        <w:t>).</w:t>
      </w:r>
    </w:p>
    <w:p w14:paraId="56ADD666" w14:textId="77777777" w:rsidR="00816831" w:rsidRDefault="00816831" w:rsidP="00980541">
      <w:pPr>
        <w:pStyle w:val="sectbody"/>
        <w:spacing w:before="0" w:beforeAutospacing="0" w:after="0" w:afterAutospacing="0" w:line="480" w:lineRule="auto"/>
        <w:jc w:val="both"/>
        <w:rPr>
          <w:rFonts w:ascii="Century Schoolbook" w:hAnsi="Century Schoolbook"/>
          <w:sz w:val="28"/>
          <w:szCs w:val="28"/>
        </w:rPr>
      </w:pPr>
    </w:p>
    <w:p w14:paraId="70D994A3" w14:textId="3FF75DC5" w:rsidR="007C335A" w:rsidRPr="007C335A" w:rsidRDefault="007C335A" w:rsidP="00730CFB">
      <w:pPr>
        <w:pStyle w:val="sectbody"/>
        <w:spacing w:before="0" w:beforeAutospacing="0" w:after="0" w:afterAutospacing="0"/>
        <w:jc w:val="both"/>
        <w:rPr>
          <w:rFonts w:ascii="Century Schoolbook" w:hAnsi="Century Schoolbook"/>
          <w:sz w:val="28"/>
          <w:szCs w:val="28"/>
        </w:rPr>
      </w:pPr>
      <w:r w:rsidRPr="00730CFB">
        <w:rPr>
          <w:rFonts w:ascii="Century Schoolbook" w:hAnsi="Century Schoolbook"/>
          <w:b/>
          <w:bCs/>
          <w:sz w:val="28"/>
          <w:szCs w:val="28"/>
        </w:rPr>
        <w:t>Comment:</w:t>
      </w:r>
      <w:r>
        <w:rPr>
          <w:rFonts w:ascii="Century Schoolbook" w:hAnsi="Century Schoolbook"/>
          <w:sz w:val="28"/>
          <w:szCs w:val="28"/>
        </w:rPr>
        <w:t xml:space="preserve"> Rule 28.1 is revised to clarify its application in various kinds of cross-appeals and to conform to amendments in Rule 32. Subsection (e) clarifies the page, line, and word limitations in both non-capital and capital cases. Subsection (f) clarifies the </w:t>
      </w:r>
      <w:r w:rsidR="000038F5">
        <w:rPr>
          <w:rFonts w:ascii="Century Schoolbook" w:hAnsi="Century Schoolbook"/>
          <w:sz w:val="28"/>
          <w:szCs w:val="28"/>
        </w:rPr>
        <w:t xml:space="preserve">briefing schedule for cross-appeals in </w:t>
      </w:r>
      <w:proofErr w:type="gramStart"/>
      <w:r w:rsidR="000038F5" w:rsidRPr="000038F5">
        <w:rPr>
          <w:rFonts w:ascii="Century Schoolbook" w:hAnsi="Century Schoolbook"/>
          <w:sz w:val="28"/>
          <w:szCs w:val="28"/>
        </w:rPr>
        <w:t>fast track</w:t>
      </w:r>
      <w:proofErr w:type="gramEnd"/>
      <w:r w:rsidR="000038F5" w:rsidRPr="000038F5">
        <w:rPr>
          <w:rFonts w:ascii="Century Schoolbook" w:hAnsi="Century Schoolbook"/>
          <w:sz w:val="28"/>
          <w:szCs w:val="28"/>
        </w:rPr>
        <w:t xml:space="preserve"> child custody cases or involving termination of parental rights</w:t>
      </w:r>
      <w:r w:rsidR="000038F5">
        <w:rPr>
          <w:rFonts w:ascii="Century Schoolbook" w:hAnsi="Century Schoolbook"/>
          <w:sz w:val="28"/>
          <w:szCs w:val="28"/>
        </w:rPr>
        <w:t>.</w:t>
      </w:r>
    </w:p>
    <w:sectPr w:rsidR="007C335A" w:rsidRPr="007C3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A1FBE" w14:textId="77777777" w:rsidR="00D37FFC" w:rsidRDefault="00D37FFC" w:rsidP="008E48D8">
      <w:pPr>
        <w:spacing w:after="0" w:line="240" w:lineRule="auto"/>
      </w:pPr>
      <w:r>
        <w:separator/>
      </w:r>
    </w:p>
  </w:endnote>
  <w:endnote w:type="continuationSeparator" w:id="0">
    <w:p w14:paraId="107722BD" w14:textId="77777777" w:rsidR="00D37FFC" w:rsidRDefault="00D37FFC" w:rsidP="008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82B7" w14:textId="77777777" w:rsidR="00D37FFC" w:rsidRDefault="00D37FFC" w:rsidP="008E48D8">
      <w:pPr>
        <w:spacing w:after="0" w:line="240" w:lineRule="auto"/>
      </w:pPr>
      <w:r>
        <w:separator/>
      </w:r>
    </w:p>
  </w:footnote>
  <w:footnote w:type="continuationSeparator" w:id="0">
    <w:p w14:paraId="1E018CDE" w14:textId="77777777" w:rsidR="00D37FFC" w:rsidRDefault="00D37FFC" w:rsidP="008E4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6416"/>
    <w:multiLevelType w:val="hybridMultilevel"/>
    <w:tmpl w:val="27D0A5BA"/>
    <w:lvl w:ilvl="0" w:tplc="FFFFFFFF">
      <w:start w:val="1"/>
      <w:numFmt w:val="upperLetter"/>
      <w:lvlText w:val="(%1)"/>
      <w:lvlJc w:val="left"/>
      <w:pPr>
        <w:ind w:left="1140" w:hanging="4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86A4B56"/>
    <w:multiLevelType w:val="hybridMultilevel"/>
    <w:tmpl w:val="27D0A5BA"/>
    <w:lvl w:ilvl="0" w:tplc="9A124638">
      <w:start w:val="1"/>
      <w:numFmt w:val="upperLetter"/>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BA5E7B"/>
    <w:multiLevelType w:val="hybridMultilevel"/>
    <w:tmpl w:val="27D0A5BA"/>
    <w:lvl w:ilvl="0" w:tplc="FFFFFFFF">
      <w:start w:val="1"/>
      <w:numFmt w:val="upperLetter"/>
      <w:lvlText w:val="(%1)"/>
      <w:lvlJc w:val="left"/>
      <w:pPr>
        <w:ind w:left="1140" w:hanging="4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05633600">
    <w:abstractNumId w:val="1"/>
  </w:num>
  <w:num w:numId="2" w16cid:durableId="1759716731">
    <w:abstractNumId w:val="2"/>
  </w:num>
  <w:num w:numId="3" w16cid:durableId="213466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41"/>
    <w:rsid w:val="00002E70"/>
    <w:rsid w:val="000038F5"/>
    <w:rsid w:val="00004ABA"/>
    <w:rsid w:val="000103AA"/>
    <w:rsid w:val="00016347"/>
    <w:rsid w:val="000377E8"/>
    <w:rsid w:val="00067167"/>
    <w:rsid w:val="000F73E3"/>
    <w:rsid w:val="00105E99"/>
    <w:rsid w:val="00133E97"/>
    <w:rsid w:val="001527E1"/>
    <w:rsid w:val="00192BB4"/>
    <w:rsid w:val="00192F81"/>
    <w:rsid w:val="001D06AD"/>
    <w:rsid w:val="002022DE"/>
    <w:rsid w:val="00212856"/>
    <w:rsid w:val="00222106"/>
    <w:rsid w:val="00257C39"/>
    <w:rsid w:val="00281875"/>
    <w:rsid w:val="002B0093"/>
    <w:rsid w:val="002B11C6"/>
    <w:rsid w:val="002D2616"/>
    <w:rsid w:val="002D6BDC"/>
    <w:rsid w:val="00315632"/>
    <w:rsid w:val="00356CF5"/>
    <w:rsid w:val="00366257"/>
    <w:rsid w:val="00386483"/>
    <w:rsid w:val="00404D04"/>
    <w:rsid w:val="0042036B"/>
    <w:rsid w:val="00455CBA"/>
    <w:rsid w:val="004656FD"/>
    <w:rsid w:val="004E747D"/>
    <w:rsid w:val="004F1F82"/>
    <w:rsid w:val="005039F4"/>
    <w:rsid w:val="005417B1"/>
    <w:rsid w:val="00554A34"/>
    <w:rsid w:val="005B4251"/>
    <w:rsid w:val="005B61E9"/>
    <w:rsid w:val="005D4829"/>
    <w:rsid w:val="005D73BD"/>
    <w:rsid w:val="005F7535"/>
    <w:rsid w:val="00616C8B"/>
    <w:rsid w:val="00650371"/>
    <w:rsid w:val="00696C96"/>
    <w:rsid w:val="006A0458"/>
    <w:rsid w:val="006E2A90"/>
    <w:rsid w:val="006F0AB6"/>
    <w:rsid w:val="00724B7D"/>
    <w:rsid w:val="00730CFB"/>
    <w:rsid w:val="00744844"/>
    <w:rsid w:val="007453C2"/>
    <w:rsid w:val="00754D9A"/>
    <w:rsid w:val="00774ED4"/>
    <w:rsid w:val="007962C2"/>
    <w:rsid w:val="007A1829"/>
    <w:rsid w:val="007B23CE"/>
    <w:rsid w:val="007C335A"/>
    <w:rsid w:val="007C49DA"/>
    <w:rsid w:val="0080128F"/>
    <w:rsid w:val="00816831"/>
    <w:rsid w:val="00820E3B"/>
    <w:rsid w:val="00847539"/>
    <w:rsid w:val="00893B5A"/>
    <w:rsid w:val="008A0399"/>
    <w:rsid w:val="008A06A7"/>
    <w:rsid w:val="008A2AE0"/>
    <w:rsid w:val="008E48D8"/>
    <w:rsid w:val="00955971"/>
    <w:rsid w:val="00980541"/>
    <w:rsid w:val="00992EBE"/>
    <w:rsid w:val="009C76F5"/>
    <w:rsid w:val="009D0F49"/>
    <w:rsid w:val="009D76E2"/>
    <w:rsid w:val="00A23D4F"/>
    <w:rsid w:val="00A552F8"/>
    <w:rsid w:val="00A74B84"/>
    <w:rsid w:val="00A9057E"/>
    <w:rsid w:val="00AD2800"/>
    <w:rsid w:val="00AE1F72"/>
    <w:rsid w:val="00AE2BB2"/>
    <w:rsid w:val="00B4539C"/>
    <w:rsid w:val="00B6726D"/>
    <w:rsid w:val="00B80A2D"/>
    <w:rsid w:val="00BB05D2"/>
    <w:rsid w:val="00BC10CF"/>
    <w:rsid w:val="00BD0BAC"/>
    <w:rsid w:val="00BE02A1"/>
    <w:rsid w:val="00BE46B4"/>
    <w:rsid w:val="00BF7864"/>
    <w:rsid w:val="00C2323C"/>
    <w:rsid w:val="00C25FDC"/>
    <w:rsid w:val="00C567CA"/>
    <w:rsid w:val="00C87DBD"/>
    <w:rsid w:val="00C96D23"/>
    <w:rsid w:val="00CC18C3"/>
    <w:rsid w:val="00CD310A"/>
    <w:rsid w:val="00CE485B"/>
    <w:rsid w:val="00D12D4C"/>
    <w:rsid w:val="00D3347E"/>
    <w:rsid w:val="00D37FFC"/>
    <w:rsid w:val="00D969F4"/>
    <w:rsid w:val="00DB7C77"/>
    <w:rsid w:val="00E03A65"/>
    <w:rsid w:val="00E23887"/>
    <w:rsid w:val="00E25A8A"/>
    <w:rsid w:val="00E7348C"/>
    <w:rsid w:val="00F13CFA"/>
    <w:rsid w:val="00F411C7"/>
    <w:rsid w:val="00F42741"/>
    <w:rsid w:val="00F47896"/>
    <w:rsid w:val="00F5097F"/>
    <w:rsid w:val="00F5454C"/>
    <w:rsid w:val="00F73948"/>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4374"/>
  <w15:chartTrackingRefBased/>
  <w15:docId w15:val="{462D6428-B5FE-4D2E-BD49-6EE33ED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980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980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80541"/>
    <w:rPr>
      <w:color w:val="0000FF"/>
      <w:u w:val="single"/>
    </w:rPr>
  </w:style>
  <w:style w:type="paragraph" w:customStyle="1" w:styleId="sourcenote">
    <w:name w:val="sourcenote"/>
    <w:basedOn w:val="Normal"/>
    <w:rsid w:val="009805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039F4"/>
    <w:pPr>
      <w:spacing w:after="0" w:line="240" w:lineRule="auto"/>
    </w:pPr>
  </w:style>
  <w:style w:type="character" w:styleId="CommentReference">
    <w:name w:val="annotation reference"/>
    <w:basedOn w:val="DefaultParagraphFont"/>
    <w:uiPriority w:val="99"/>
    <w:semiHidden/>
    <w:unhideWhenUsed/>
    <w:rsid w:val="00BE46B4"/>
    <w:rPr>
      <w:sz w:val="16"/>
      <w:szCs w:val="16"/>
    </w:rPr>
  </w:style>
  <w:style w:type="paragraph" w:styleId="CommentText">
    <w:name w:val="annotation text"/>
    <w:basedOn w:val="Normal"/>
    <w:link w:val="CommentTextChar"/>
    <w:uiPriority w:val="99"/>
    <w:unhideWhenUsed/>
    <w:rsid w:val="00BE46B4"/>
    <w:pPr>
      <w:spacing w:line="240" w:lineRule="auto"/>
    </w:pPr>
    <w:rPr>
      <w:sz w:val="20"/>
      <w:szCs w:val="20"/>
    </w:rPr>
  </w:style>
  <w:style w:type="character" w:customStyle="1" w:styleId="CommentTextChar">
    <w:name w:val="Comment Text Char"/>
    <w:basedOn w:val="DefaultParagraphFont"/>
    <w:link w:val="CommentText"/>
    <w:uiPriority w:val="99"/>
    <w:rsid w:val="00BE46B4"/>
    <w:rPr>
      <w:sz w:val="20"/>
      <w:szCs w:val="20"/>
    </w:rPr>
  </w:style>
  <w:style w:type="paragraph" w:styleId="CommentSubject">
    <w:name w:val="annotation subject"/>
    <w:basedOn w:val="CommentText"/>
    <w:next w:val="CommentText"/>
    <w:link w:val="CommentSubjectChar"/>
    <w:uiPriority w:val="99"/>
    <w:semiHidden/>
    <w:unhideWhenUsed/>
    <w:rsid w:val="00BE46B4"/>
    <w:rPr>
      <w:b/>
      <w:bCs/>
    </w:rPr>
  </w:style>
  <w:style w:type="character" w:customStyle="1" w:styleId="CommentSubjectChar">
    <w:name w:val="Comment Subject Char"/>
    <w:basedOn w:val="CommentTextChar"/>
    <w:link w:val="CommentSubject"/>
    <w:uiPriority w:val="99"/>
    <w:semiHidden/>
    <w:rsid w:val="00BE46B4"/>
    <w:rPr>
      <w:b/>
      <w:bCs/>
      <w:sz w:val="20"/>
      <w:szCs w:val="20"/>
    </w:rPr>
  </w:style>
  <w:style w:type="paragraph" w:styleId="Header">
    <w:name w:val="header"/>
    <w:basedOn w:val="Normal"/>
    <w:link w:val="HeaderChar"/>
    <w:uiPriority w:val="99"/>
    <w:unhideWhenUsed/>
    <w:rsid w:val="008E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D8"/>
  </w:style>
  <w:style w:type="paragraph" w:styleId="Footer">
    <w:name w:val="footer"/>
    <w:basedOn w:val="Normal"/>
    <w:link w:val="FooterChar"/>
    <w:uiPriority w:val="99"/>
    <w:unhideWhenUsed/>
    <w:rsid w:val="008E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3988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Smith, Abraham</cp:lastModifiedBy>
  <cp:revision>3</cp:revision>
  <dcterms:created xsi:type="dcterms:W3CDTF">2023-10-18T23:59:00Z</dcterms:created>
  <dcterms:modified xsi:type="dcterms:W3CDTF">2023-10-18T23:59:00Z</dcterms:modified>
</cp:coreProperties>
</file>